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June 4, 2021</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333-256615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AMENDMENT NO.1 TO</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AiHuiShou International Co. Ltd.</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Not Applicable</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8"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00" w:type="dxa"/>
            <w:vAlign w:val="bottom"/>
          </w:tcPr>
          <w:p>
            <w:pPr>
              <w:jc w:val="center"/>
              <w:ind w:right="914"/>
              <w:spacing w:after="0"/>
              <w:rPr>
                <w:sz w:val="20"/>
                <w:szCs w:val="20"/>
                <w:color w:val="auto"/>
              </w:rPr>
            </w:pPr>
            <w:r>
              <w:rPr>
                <w:rFonts w:ascii="Arial" w:cs="Arial" w:eastAsia="Arial" w:hAnsi="Arial"/>
                <w:sz w:val="14"/>
                <w:szCs w:val="14"/>
                <w:b w:val="1"/>
                <w:bCs w:val="1"/>
                <w:color w:val="auto"/>
              </w:rPr>
              <w:t>Cayman Islands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5990</w:t>
            </w:r>
          </w:p>
        </w:tc>
        <w:tc>
          <w:tcPr>
            <w:tcW w:w="2380" w:type="dxa"/>
            <w:vAlign w:val="bottom"/>
          </w:tcPr>
          <w:p>
            <w:pPr>
              <w:jc w:val="center"/>
              <w:ind w:left="974"/>
              <w:spacing w:after="0"/>
              <w:rPr>
                <w:sz w:val="20"/>
                <w:szCs w:val="20"/>
                <w:color w:val="auto"/>
              </w:rPr>
            </w:pPr>
            <w:r>
              <w:rPr>
                <w:rFonts w:ascii="Arial" w:cs="Arial" w:eastAsia="Arial" w:hAnsi="Arial"/>
                <w:sz w:val="14"/>
                <w:szCs w:val="14"/>
                <w:b w:val="1"/>
                <w:bCs w:val="1"/>
                <w:color w:val="auto"/>
              </w:rPr>
              <w:t>Not Applicable</w:t>
            </w:r>
          </w:p>
        </w:tc>
      </w:tr>
      <w:tr>
        <w:trPr>
          <w:trHeight w:val="135"/>
        </w:trPr>
        <w:tc>
          <w:tcPr>
            <w:tcW w:w="280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(Primary Standard Industrial</w:t>
            </w:r>
          </w:p>
        </w:tc>
        <w:tc>
          <w:tcPr>
            <w:tcW w:w="2380" w:type="dxa"/>
            <w:vAlign w:val="bottom"/>
          </w:tcPr>
          <w:p>
            <w:pPr>
              <w:jc w:val="center"/>
              <w:ind w:left="97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68"/>
        </w:trPr>
        <w:tc>
          <w:tcPr>
            <w:tcW w:w="2800" w:type="dxa"/>
            <w:vAlign w:val="bottom"/>
          </w:tcPr>
          <w:p>
            <w:pPr>
              <w:jc w:val="center"/>
              <w:ind w:right="934"/>
              <w:spacing w:after="0"/>
              <w:rPr>
                <w:sz w:val="20"/>
                <w:szCs w:val="20"/>
                <w:color w:val="auto"/>
              </w:rPr>
            </w:pPr>
            <w:r>
              <w:rPr>
                <w:rFonts w:ascii="Arial" w:cs="Arial" w:eastAsia="Arial" w:hAnsi="Arial"/>
                <w:sz w:val="13"/>
                <w:szCs w:val="13"/>
                <w:b w:val="1"/>
                <w:bCs w:val="1"/>
                <w:color w:val="auto"/>
                <w:w w:val="96"/>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Classification Code Number)</w:t>
            </w:r>
          </w:p>
        </w:tc>
        <w:tc>
          <w:tcPr>
            <w:tcW w:w="2380" w:type="dxa"/>
            <w:vAlign w:val="bottom"/>
          </w:tcPr>
          <w:p>
            <w:pPr>
              <w:jc w:val="center"/>
              <w:ind w:left="974"/>
              <w:spacing w:after="0"/>
              <w:rPr>
                <w:sz w:val="20"/>
                <w:szCs w:val="20"/>
                <w:color w:val="auto"/>
              </w:rPr>
            </w:pPr>
            <w:r>
              <w:rPr>
                <w:rFonts w:ascii="Arial" w:cs="Arial" w:eastAsia="Arial" w:hAnsi="Arial"/>
                <w:sz w:val="13"/>
                <w:szCs w:val="13"/>
                <w:b w:val="1"/>
                <w:bCs w:val="1"/>
                <w:color w:val="auto"/>
                <w:w w:val="97"/>
              </w:rPr>
              <w:t>Identification Number)</w:t>
            </w:r>
          </w:p>
        </w:tc>
      </w:tr>
    </w:tbl>
    <w:p>
      <w:pPr>
        <w:jc w:val="center"/>
        <w:ind w:right="-119"/>
        <w:spacing w:after="0" w:line="194" w:lineRule="auto"/>
        <w:rPr>
          <w:sz w:val="20"/>
          <w:szCs w:val="20"/>
          <w:color w:val="auto"/>
        </w:rPr>
      </w:pPr>
      <w:r>
        <w:rPr>
          <w:rFonts w:ascii="Arial" w:cs="Arial" w:eastAsia="Arial" w:hAnsi="Arial"/>
          <w:sz w:val="14"/>
          <w:szCs w:val="14"/>
          <w:b w:val="1"/>
          <w:bCs w:val="1"/>
          <w:color w:val="auto"/>
        </w:rPr>
        <w:t>12</w:t>
      </w:r>
      <w:r>
        <w:rPr>
          <w:rFonts w:ascii="Arial" w:cs="Arial" w:eastAsia="Arial" w:hAnsi="Arial"/>
          <w:sz w:val="24"/>
          <w:szCs w:val="24"/>
          <w:b w:val="1"/>
          <w:bCs w:val="1"/>
          <w:color w:val="auto"/>
          <w:vertAlign w:val="superscript"/>
        </w:rPr>
        <w:t>th</w:t>
      </w:r>
      <w:r>
        <w:rPr>
          <w:rFonts w:ascii="Arial" w:cs="Arial" w:eastAsia="Arial" w:hAnsi="Arial"/>
          <w:sz w:val="14"/>
          <w:szCs w:val="14"/>
          <w:b w:val="1"/>
          <w:bCs w:val="1"/>
          <w:color w:val="auto"/>
        </w:rPr>
        <w:t xml:space="preserve"> Floor, No. 6 Building, 433 Songhu Road, Shanghai</w:t>
      </w:r>
    </w:p>
    <w:p>
      <w:pPr>
        <w:jc w:val="center"/>
        <w:ind w:right="-119"/>
        <w:spacing w:after="0"/>
        <w:rPr>
          <w:sz w:val="20"/>
          <w:szCs w:val="20"/>
          <w:color w:val="auto"/>
        </w:rPr>
      </w:pPr>
      <w:r>
        <w:rPr>
          <w:rFonts w:ascii="Arial" w:cs="Arial" w:eastAsia="Arial" w:hAnsi="Arial"/>
          <w:sz w:val="14"/>
          <w:szCs w:val="14"/>
          <w:b w:val="1"/>
          <w:bCs w:val="1"/>
          <w:color w:val="auto"/>
        </w:rPr>
        <w:t>People’s Republic of China</w:t>
      </w:r>
    </w:p>
    <w:p>
      <w:pPr>
        <w:jc w:val="center"/>
        <w:ind w:right="-119"/>
        <w:spacing w:after="0" w:line="226" w:lineRule="auto"/>
        <w:rPr>
          <w:sz w:val="20"/>
          <w:szCs w:val="20"/>
          <w:color w:val="auto"/>
        </w:rPr>
      </w:pPr>
      <w:r>
        <w:rPr>
          <w:rFonts w:ascii="Arial" w:cs="Arial" w:eastAsia="Arial" w:hAnsi="Arial"/>
          <w:sz w:val="14"/>
          <w:szCs w:val="14"/>
          <w:b w:val="1"/>
          <w:bCs w:val="1"/>
          <w:color w:val="auto"/>
        </w:rPr>
        <w:t>+86 21 5290-7031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Cogency Global Inc.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122 East 42nd Street, 18th Floor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New York, NY 10168</w:t>
      </w:r>
    </w:p>
    <w:p>
      <w:pPr>
        <w:jc w:val="center"/>
        <w:ind w:right="-119"/>
        <w:spacing w:after="0" w:line="226" w:lineRule="auto"/>
        <w:rPr>
          <w:sz w:val="20"/>
          <w:szCs w:val="20"/>
          <w:color w:val="auto"/>
        </w:rPr>
      </w:pPr>
      <w:r>
        <w:rPr>
          <w:rFonts w:ascii="Arial" w:cs="Arial" w:eastAsia="Arial" w:hAnsi="Arial"/>
          <w:sz w:val="14"/>
          <w:szCs w:val="14"/>
          <w:b w:val="1"/>
          <w:bCs w:val="1"/>
          <w:color w:val="auto"/>
        </w:rPr>
        <w:t>+1 800-221-0102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3" w:lineRule="exact"/>
        <w:rPr>
          <w:sz w:val="24"/>
          <w:szCs w:val="24"/>
          <w:color w:val="auto"/>
        </w:rPr>
      </w:pPr>
    </w:p>
    <w:tbl>
      <w:tblPr>
        <w:tblLayout w:type="fixed"/>
        <w:tblInd w:w="1420" w:type="dxa"/>
        <w:tblCellMar>
          <w:top w:w="0" w:type="dxa"/>
          <w:left w:w="0" w:type="dxa"/>
          <w:bottom w:w="0" w:type="dxa"/>
          <w:right w:w="0" w:type="dxa"/>
        </w:tblCellMar>
      </w:tblPr>
      <w:tr>
        <w:trPr>
          <w:trHeight w:val="188"/>
        </w:trPr>
        <w:tc>
          <w:tcPr>
            <w:tcW w:w="3400" w:type="dxa"/>
            <w:vAlign w:val="bottom"/>
          </w:tcPr>
          <w:p>
            <w:pPr>
              <w:spacing w:after="0"/>
              <w:rPr>
                <w:sz w:val="16"/>
                <w:szCs w:val="16"/>
                <w:color w:val="auto"/>
              </w:rPr>
            </w:pPr>
          </w:p>
        </w:tc>
        <w:tc>
          <w:tcPr>
            <w:tcW w:w="478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3400" w:type="dxa"/>
            <w:vAlign w:val="bottom"/>
          </w:tcPr>
          <w:p>
            <w:pPr>
              <w:jc w:val="center"/>
              <w:ind w:right="368"/>
              <w:spacing w:after="0"/>
              <w:rPr>
                <w:sz w:val="20"/>
                <w:szCs w:val="20"/>
                <w:color w:val="auto"/>
              </w:rPr>
            </w:pPr>
            <w:r>
              <w:rPr>
                <w:rFonts w:ascii="Arial" w:cs="Arial" w:eastAsia="Arial" w:hAnsi="Arial"/>
                <w:sz w:val="14"/>
                <w:szCs w:val="14"/>
                <w:b w:val="1"/>
                <w:bCs w:val="1"/>
                <w:color w:val="auto"/>
              </w:rPr>
              <w:t>Z. Julie Gao, Esq.</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Benjamin Su, Esq.</w:t>
            </w:r>
          </w:p>
        </w:tc>
      </w:tr>
      <w:tr>
        <w:trPr>
          <w:trHeight w:val="162"/>
        </w:trPr>
        <w:tc>
          <w:tcPr>
            <w:tcW w:w="3400" w:type="dxa"/>
            <w:vAlign w:val="bottom"/>
          </w:tcPr>
          <w:p>
            <w:pPr>
              <w:jc w:val="center"/>
              <w:ind w:right="368"/>
              <w:spacing w:after="0"/>
              <w:rPr>
                <w:sz w:val="20"/>
                <w:szCs w:val="20"/>
                <w:color w:val="auto"/>
              </w:rPr>
            </w:pPr>
            <w:r>
              <w:rPr>
                <w:rFonts w:ascii="Arial" w:cs="Arial" w:eastAsia="Arial" w:hAnsi="Arial"/>
                <w:sz w:val="14"/>
                <w:szCs w:val="14"/>
                <w:b w:val="1"/>
                <w:bCs w:val="1"/>
                <w:color w:val="auto"/>
              </w:rPr>
              <w:t>Shu Du, Esq.</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Allen C. Wang, Esq.</w:t>
            </w:r>
          </w:p>
        </w:tc>
      </w:tr>
      <w:tr>
        <w:trPr>
          <w:trHeight w:val="162"/>
        </w:trPr>
        <w:tc>
          <w:tcPr>
            <w:tcW w:w="3400" w:type="dxa"/>
            <w:vAlign w:val="bottom"/>
          </w:tcPr>
          <w:p>
            <w:pPr>
              <w:jc w:val="center"/>
              <w:ind w:right="388"/>
              <w:spacing w:after="0"/>
              <w:rPr>
                <w:sz w:val="20"/>
                <w:szCs w:val="20"/>
                <w:color w:val="auto"/>
              </w:rPr>
            </w:pPr>
            <w:r>
              <w:rPr>
                <w:rFonts w:ascii="Arial" w:cs="Arial" w:eastAsia="Arial" w:hAnsi="Arial"/>
                <w:sz w:val="14"/>
                <w:szCs w:val="14"/>
                <w:b w:val="1"/>
                <w:bCs w:val="1"/>
                <w:color w:val="auto"/>
              </w:rPr>
              <w:t>Skadden, Arps, Slate, Meagher &amp; Flom LLP</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Latham &amp; Watkins LLP</w:t>
            </w:r>
          </w:p>
        </w:tc>
      </w:tr>
      <w:tr>
        <w:trPr>
          <w:trHeight w:val="162"/>
        </w:trPr>
        <w:tc>
          <w:tcPr>
            <w:tcW w:w="3400" w:type="dxa"/>
            <w:vAlign w:val="bottom"/>
          </w:tcPr>
          <w:p>
            <w:pPr>
              <w:jc w:val="center"/>
              <w:ind w:right="368"/>
              <w:spacing w:after="0"/>
              <w:rPr>
                <w:sz w:val="20"/>
                <w:szCs w:val="20"/>
                <w:color w:val="auto"/>
              </w:rPr>
            </w:pPr>
            <w:r>
              <w:rPr>
                <w:rFonts w:ascii="Arial" w:cs="Arial" w:eastAsia="Arial" w:hAnsi="Arial"/>
                <w:sz w:val="14"/>
                <w:szCs w:val="14"/>
                <w:b w:val="1"/>
                <w:bCs w:val="1"/>
                <w:color w:val="auto"/>
              </w:rPr>
              <w:t>c/o 42/F, Edinburgh Tower, The Landmark</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18th Floor, One Exchange Square</w:t>
            </w:r>
          </w:p>
        </w:tc>
      </w:tr>
      <w:tr>
        <w:trPr>
          <w:trHeight w:val="162"/>
        </w:trPr>
        <w:tc>
          <w:tcPr>
            <w:tcW w:w="3400" w:type="dxa"/>
            <w:vAlign w:val="bottom"/>
          </w:tcPr>
          <w:p>
            <w:pPr>
              <w:jc w:val="center"/>
              <w:ind w:right="388"/>
              <w:spacing w:after="0"/>
              <w:rPr>
                <w:sz w:val="20"/>
                <w:szCs w:val="20"/>
                <w:color w:val="auto"/>
              </w:rPr>
            </w:pPr>
            <w:r>
              <w:rPr>
                <w:rFonts w:ascii="Arial" w:cs="Arial" w:eastAsia="Arial" w:hAnsi="Arial"/>
                <w:sz w:val="14"/>
                <w:szCs w:val="14"/>
                <w:b w:val="1"/>
                <w:bCs w:val="1"/>
                <w:color w:val="auto"/>
              </w:rPr>
              <w:t>15 Queen’s Road Central</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8 Connaught Place, Central</w:t>
            </w:r>
          </w:p>
        </w:tc>
      </w:tr>
      <w:tr>
        <w:trPr>
          <w:trHeight w:val="162"/>
        </w:trPr>
        <w:tc>
          <w:tcPr>
            <w:tcW w:w="3400" w:type="dxa"/>
            <w:vAlign w:val="bottom"/>
          </w:tcPr>
          <w:p>
            <w:pPr>
              <w:jc w:val="center"/>
              <w:ind w:right="388"/>
              <w:spacing w:after="0"/>
              <w:rPr>
                <w:sz w:val="20"/>
                <w:szCs w:val="20"/>
                <w:color w:val="auto"/>
              </w:rPr>
            </w:pPr>
            <w:r>
              <w:rPr>
                <w:rFonts w:ascii="Arial" w:cs="Arial" w:eastAsia="Arial" w:hAnsi="Arial"/>
                <w:sz w:val="14"/>
                <w:szCs w:val="14"/>
                <w:b w:val="1"/>
                <w:bCs w:val="1"/>
                <w:color w:val="auto"/>
              </w:rPr>
              <w:t>Hong Kong</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Hong Kong</w:t>
            </w:r>
          </w:p>
        </w:tc>
      </w:tr>
      <w:tr>
        <w:trPr>
          <w:trHeight w:val="190"/>
        </w:trPr>
        <w:tc>
          <w:tcPr>
            <w:tcW w:w="3400" w:type="dxa"/>
            <w:vAlign w:val="bottom"/>
          </w:tcPr>
          <w:p>
            <w:pPr>
              <w:jc w:val="center"/>
              <w:ind w:right="368"/>
              <w:spacing w:after="0"/>
              <w:rPr>
                <w:sz w:val="20"/>
                <w:szCs w:val="20"/>
                <w:color w:val="auto"/>
              </w:rPr>
            </w:pPr>
            <w:r>
              <w:rPr>
                <w:rFonts w:ascii="Arial" w:cs="Arial" w:eastAsia="Arial" w:hAnsi="Arial"/>
                <w:sz w:val="14"/>
                <w:szCs w:val="14"/>
                <w:b w:val="1"/>
                <w:bCs w:val="1"/>
                <w:color w:val="auto"/>
              </w:rPr>
              <w:t>+852 3740-4700</w:t>
            </w:r>
          </w:p>
        </w:tc>
        <w:tc>
          <w:tcPr>
            <w:tcW w:w="4780" w:type="dxa"/>
            <w:vAlign w:val="bottom"/>
          </w:tcPr>
          <w:p>
            <w:pPr>
              <w:jc w:val="center"/>
              <w:ind w:left="2428"/>
              <w:spacing w:after="0"/>
              <w:rPr>
                <w:sz w:val="20"/>
                <w:szCs w:val="20"/>
                <w:color w:val="auto"/>
              </w:rPr>
            </w:pPr>
            <w:r>
              <w:rPr>
                <w:rFonts w:ascii="Arial" w:cs="Arial" w:eastAsia="Arial" w:hAnsi="Arial"/>
                <w:sz w:val="14"/>
                <w:szCs w:val="14"/>
                <w:b w:val="1"/>
                <w:bCs w:val="1"/>
                <w:color w:val="auto"/>
              </w:rPr>
              <w:t>+852 2912-2500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2" w:lineRule="exact"/>
        <w:rPr>
          <w:sz w:val="24"/>
          <w:szCs w:val="24"/>
          <w:color w:val="auto"/>
        </w:rPr>
      </w:pPr>
    </w:p>
    <w:p>
      <w:pPr>
        <w:ind w:left="3360"/>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0" w:lineRule="exact"/>
        <w:rPr>
          <w:sz w:val="24"/>
          <w:szCs w:val="24"/>
          <w:color w:val="auto"/>
        </w:rPr>
      </w:pPr>
    </w:p>
    <w:p>
      <w:pPr>
        <w:ind w:left="66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84" w:lineRule="exact"/>
        <w:rPr>
          <w:sz w:val="24"/>
          <w:szCs w:val="24"/>
          <w:color w:val="auto"/>
        </w:rPr>
      </w:pPr>
    </w:p>
    <w:p>
      <w:pPr>
        <w:ind w:left="120" w:right="300" w:firstLine="551"/>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left="120" w:right="260" w:firstLine="551"/>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left="120" w:right="260" w:firstLine="551"/>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4" w:lineRule="exact"/>
        <w:rPr>
          <w:sz w:val="24"/>
          <w:szCs w:val="24"/>
          <w:color w:val="auto"/>
        </w:rPr>
      </w:pPr>
    </w:p>
    <w:p>
      <w:pPr>
        <w:ind w:left="66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23" w:lineRule="exact"/>
        <w:rPr>
          <w:sz w:val="24"/>
          <w:szCs w:val="24"/>
          <w:color w:val="auto"/>
        </w:rPr>
      </w:pPr>
    </w:p>
    <w:p>
      <w:pPr>
        <w:ind w:left="6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70" w:lineRule="exact"/>
        <w:rPr>
          <w:sz w:val="24"/>
          <w:szCs w:val="24"/>
          <w:color w:val="auto"/>
        </w:rPr>
      </w:pPr>
    </w:p>
    <w:p>
      <w:pPr>
        <w:ind w:left="120" w:right="100" w:firstLine="551"/>
        <w:spacing w:after="0" w:line="157"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1" w:lineRule="exact"/>
        <w:rPr>
          <w:sz w:val="24"/>
          <w:szCs w:val="24"/>
          <w:color w:val="auto"/>
        </w:rPr>
      </w:pPr>
    </w:p>
    <w:p>
      <w:pPr>
        <w:ind w:left="660"/>
        <w:spacing w:after="0"/>
        <w:rPr>
          <w:sz w:val="20"/>
          <w:szCs w:val="20"/>
          <w:color w:val="auto"/>
        </w:rPr>
      </w:pPr>
      <w:r>
        <w:rPr>
          <w:rFonts w:ascii="Arial" w:cs="Arial" w:eastAsia="Arial" w:hAnsi="Arial"/>
          <w:sz w:val="12"/>
          <w:szCs w:val="12"/>
          <w:color w:val="auto"/>
        </w:rPr>
        <w:t>† The term “new or revised financial accounting standard” refers to any update issued by the Financial Accounting Standards Board to its Accounting Standards Codification after April 5,</w:t>
      </w:r>
    </w:p>
    <w:p>
      <w:pPr>
        <w:ind w:left="120"/>
        <w:spacing w:after="0"/>
        <w:rPr>
          <w:sz w:val="20"/>
          <w:szCs w:val="20"/>
          <w:color w:val="auto"/>
        </w:rPr>
      </w:pPr>
      <w:r>
        <w:rPr>
          <w:rFonts w:ascii="Arial" w:cs="Arial" w:eastAsia="Arial" w:hAnsi="Arial"/>
          <w:sz w:val="13"/>
          <w:szCs w:val="13"/>
          <w:color w:val="auto"/>
        </w:rPr>
        <w:t>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114300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9"/>
        </w:trPr>
        <w:tc>
          <w:tcPr>
            <w:tcW w:w="73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9"/>
              <w:spacing w:after="0" w:line="129" w:lineRule="exact"/>
              <w:rPr>
                <w:sz w:val="20"/>
                <w:szCs w:val="20"/>
                <w:color w:val="auto"/>
              </w:rPr>
            </w:pPr>
            <w:r>
              <w:rPr>
                <w:rFonts w:ascii="Arial" w:cs="Arial" w:eastAsia="Arial" w:hAnsi="Arial"/>
                <w:sz w:val="14"/>
                <w:szCs w:val="14"/>
                <w:b w:val="1"/>
                <w:bCs w:val="1"/>
                <w:color w:val="auto"/>
              </w:rPr>
              <w:t>Proposed</w:t>
            </w:r>
          </w:p>
        </w:tc>
        <w:tc>
          <w:tcPr>
            <w:tcW w:w="1860" w:type="dxa"/>
            <w:vAlign w:val="bottom"/>
          </w:tcPr>
          <w:p>
            <w:pPr>
              <w:spacing w:after="0"/>
              <w:rPr>
                <w:sz w:val="11"/>
                <w:szCs w:val="11"/>
                <w:color w:val="auto"/>
              </w:rPr>
            </w:pPr>
          </w:p>
        </w:tc>
      </w:tr>
      <w:tr>
        <w:trPr>
          <w:trHeight w:val="162"/>
        </w:trPr>
        <w:tc>
          <w:tcPr>
            <w:tcW w:w="7300" w:type="dxa"/>
            <w:vAlign w:val="bottom"/>
            <w:tcBorders>
              <w:right w:val="single" w:sz="8" w:color="auto"/>
            </w:tcBorders>
          </w:tcPr>
          <w:p>
            <w:pPr>
              <w:spacing w:after="0"/>
              <w:rPr>
                <w:sz w:val="14"/>
                <w:szCs w:val="14"/>
                <w:color w:val="auto"/>
              </w:rPr>
            </w:pPr>
          </w:p>
        </w:tc>
        <w:tc>
          <w:tcPr>
            <w:tcW w:w="186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maximum</w:t>
            </w:r>
          </w:p>
        </w:tc>
        <w:tc>
          <w:tcPr>
            <w:tcW w:w="1860" w:type="dxa"/>
            <w:vAlign w:val="bottom"/>
          </w:tcPr>
          <w:p>
            <w:pPr>
              <w:spacing w:after="0"/>
              <w:rPr>
                <w:sz w:val="14"/>
                <w:szCs w:val="14"/>
                <w:color w:val="auto"/>
              </w:rPr>
            </w:pPr>
          </w:p>
        </w:tc>
      </w:tr>
      <w:tr>
        <w:trPr>
          <w:trHeight w:val="159"/>
        </w:trPr>
        <w:tc>
          <w:tcPr>
            <w:tcW w:w="730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Title of each class of</w:t>
            </w:r>
          </w:p>
        </w:tc>
        <w:tc>
          <w:tcPr>
            <w:tcW w:w="1860" w:type="dxa"/>
            <w:vAlign w:val="bottom"/>
            <w:tcBorders>
              <w:right w:val="single" w:sz="8" w:color="auto"/>
            </w:tcBorders>
          </w:tcPr>
          <w:p>
            <w:pPr>
              <w:jc w:val="center"/>
              <w:ind w:left="9"/>
              <w:spacing w:after="0" w:line="159" w:lineRule="exact"/>
              <w:rPr>
                <w:sz w:val="20"/>
                <w:szCs w:val="20"/>
                <w:color w:val="auto"/>
              </w:rPr>
            </w:pPr>
            <w:r>
              <w:rPr>
                <w:rFonts w:ascii="Arial" w:cs="Arial" w:eastAsia="Arial" w:hAnsi="Arial"/>
                <w:sz w:val="14"/>
                <w:szCs w:val="14"/>
                <w:b w:val="1"/>
                <w:bCs w:val="1"/>
                <w:color w:val="auto"/>
              </w:rPr>
              <w:t>aggregate</w:t>
            </w:r>
          </w:p>
        </w:tc>
        <w:tc>
          <w:tcPr>
            <w:tcW w:w="1860" w:type="dxa"/>
            <w:vAlign w:val="bottom"/>
          </w:tcPr>
          <w:p>
            <w:pPr>
              <w:jc w:val="center"/>
              <w:ind w:left="30"/>
              <w:spacing w:after="0" w:line="159" w:lineRule="exact"/>
              <w:rPr>
                <w:sz w:val="20"/>
                <w:szCs w:val="20"/>
                <w:color w:val="auto"/>
              </w:rPr>
            </w:pPr>
            <w:r>
              <w:rPr>
                <w:rFonts w:ascii="Arial" w:cs="Arial" w:eastAsia="Arial" w:hAnsi="Arial"/>
                <w:sz w:val="14"/>
                <w:szCs w:val="14"/>
                <w:b w:val="1"/>
                <w:bCs w:val="1"/>
                <w:color w:val="auto"/>
              </w:rPr>
              <w:t>Amount of</w:t>
            </w:r>
          </w:p>
        </w:tc>
      </w:tr>
      <w:tr>
        <w:trPr>
          <w:trHeight w:val="192"/>
        </w:trPr>
        <w:tc>
          <w:tcPr>
            <w:tcW w:w="7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860" w:type="dxa"/>
            <w:vAlign w:val="bottom"/>
            <w:tcBorders>
              <w:bottom w:val="single" w:sz="8" w:color="auto"/>
              <w:right w:val="single" w:sz="8" w:color="auto"/>
            </w:tcBorders>
          </w:tcPr>
          <w:p>
            <w:pPr>
              <w:jc w:val="center"/>
              <w:ind w:left="9"/>
              <w:spacing w:after="0" w:line="192"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2"/>
                <w:szCs w:val="22"/>
                <w:b w:val="1"/>
                <w:bCs w:val="1"/>
                <w:color w:val="auto"/>
                <w:vertAlign w:val="superscript"/>
              </w:rPr>
              <w:t>(2)(3)</w:t>
            </w:r>
          </w:p>
        </w:tc>
        <w:tc>
          <w:tcPr>
            <w:tcW w:w="1860" w:type="dxa"/>
            <w:vAlign w:val="bottom"/>
            <w:tcBorders>
              <w:bottom w:val="single" w:sz="8" w:color="auto"/>
            </w:tcBorders>
          </w:tcPr>
          <w:p>
            <w:pPr>
              <w:jc w:val="center"/>
              <w:ind w:left="10"/>
              <w:spacing w:after="0" w:line="192" w:lineRule="exact"/>
              <w:rPr>
                <w:sz w:val="20"/>
                <w:szCs w:val="20"/>
                <w:color w:val="auto"/>
              </w:rPr>
            </w:pPr>
            <w:r>
              <w:rPr>
                <w:rFonts w:ascii="Arial" w:cs="Arial" w:eastAsia="Arial" w:hAnsi="Arial"/>
                <w:sz w:val="13"/>
                <w:szCs w:val="13"/>
                <w:b w:val="1"/>
                <w:bCs w:val="1"/>
                <w:color w:val="auto"/>
              </w:rPr>
              <w:t>registration fee</w:t>
            </w:r>
            <w:r>
              <w:rPr>
                <w:rFonts w:ascii="Arial" w:cs="Arial" w:eastAsia="Arial" w:hAnsi="Arial"/>
                <w:sz w:val="22"/>
                <w:szCs w:val="22"/>
                <w:b w:val="1"/>
                <w:bCs w:val="1"/>
                <w:color w:val="auto"/>
                <w:vertAlign w:val="superscript"/>
              </w:rPr>
              <w:t>(4)</w:t>
            </w:r>
          </w:p>
        </w:tc>
      </w:tr>
      <w:tr>
        <w:trPr>
          <w:trHeight w:val="156"/>
        </w:trPr>
        <w:tc>
          <w:tcPr>
            <w:tcW w:w="7300" w:type="dxa"/>
            <w:vAlign w:val="bottom"/>
            <w:tcBorders>
              <w:bottom w:val="single" w:sz="8" w:color="auto"/>
              <w:right w:val="single" w:sz="8" w:color="auto"/>
            </w:tcBorders>
          </w:tcPr>
          <w:p>
            <w:pPr>
              <w:spacing w:after="0" w:line="156" w:lineRule="exact"/>
              <w:rPr>
                <w:sz w:val="20"/>
                <w:szCs w:val="20"/>
                <w:color w:val="auto"/>
              </w:rPr>
            </w:pPr>
            <w:r>
              <w:rPr>
                <w:rFonts w:ascii="Arial" w:cs="Arial" w:eastAsia="Arial" w:hAnsi="Arial"/>
                <w:sz w:val="11"/>
                <w:szCs w:val="11"/>
                <w:color w:val="auto"/>
              </w:rPr>
              <w:t>Class A ordinary shares, par value US$0.001 per share</w:t>
            </w:r>
            <w:r>
              <w:rPr>
                <w:rFonts w:ascii="Arial" w:cs="Arial" w:eastAsia="Arial" w:hAnsi="Arial"/>
                <w:sz w:val="18"/>
                <w:szCs w:val="18"/>
                <w:color w:val="auto"/>
                <w:vertAlign w:val="superscript"/>
              </w:rPr>
              <w:t>(1)</w:t>
            </w:r>
          </w:p>
        </w:tc>
        <w:tc>
          <w:tcPr>
            <w:tcW w:w="1860" w:type="dxa"/>
            <w:vAlign w:val="bottom"/>
            <w:tcBorders>
              <w:bottom w:val="single" w:sz="8" w:color="auto"/>
              <w:right w:val="single" w:sz="8" w:color="auto"/>
            </w:tcBorders>
          </w:tcPr>
          <w:p>
            <w:pPr>
              <w:jc w:val="center"/>
              <w:ind w:left="29"/>
              <w:spacing w:after="0" w:line="155" w:lineRule="exact"/>
              <w:rPr>
                <w:sz w:val="20"/>
                <w:szCs w:val="20"/>
                <w:color w:val="auto"/>
              </w:rPr>
            </w:pPr>
            <w:r>
              <w:rPr>
                <w:rFonts w:ascii="Arial" w:cs="Arial" w:eastAsia="Arial" w:hAnsi="Arial"/>
                <w:sz w:val="14"/>
                <w:szCs w:val="14"/>
                <w:color w:val="auto"/>
              </w:rPr>
              <w:t>US$100,000,000</w:t>
            </w:r>
          </w:p>
        </w:tc>
        <w:tc>
          <w:tcPr>
            <w:tcW w:w="1860" w:type="dxa"/>
            <w:vAlign w:val="bottom"/>
            <w:tcBorders>
              <w:bottom w:val="single" w:sz="8" w:color="auto"/>
            </w:tcBorders>
          </w:tcPr>
          <w:p>
            <w:pPr>
              <w:jc w:val="center"/>
              <w:ind w:left="30"/>
              <w:spacing w:after="0" w:line="155" w:lineRule="exact"/>
              <w:rPr>
                <w:sz w:val="20"/>
                <w:szCs w:val="20"/>
                <w:color w:val="auto"/>
              </w:rPr>
            </w:pPr>
            <w:r>
              <w:rPr>
                <w:rFonts w:ascii="Arial" w:cs="Arial" w:eastAsia="Arial" w:hAnsi="Arial"/>
                <w:sz w:val="14"/>
                <w:szCs w:val="14"/>
                <w:color w:val="auto"/>
              </w:rPr>
              <w:t>US$10,910</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544" w:hanging="544"/>
        <w:spacing w:after="0" w:line="228" w:lineRule="auto"/>
        <w:tabs>
          <w:tab w:leader="none" w:pos="544" w:val="left"/>
        </w:tabs>
        <w:numPr>
          <w:ilvl w:val="0"/>
          <w:numId w:val="1"/>
        </w:numPr>
        <w:rPr>
          <w:rFonts w:ascii="Arial" w:cs="Arial" w:eastAsia="Arial" w:hAnsi="Arial"/>
          <w:sz w:val="13"/>
          <w:szCs w:val="13"/>
          <w:color w:val="auto"/>
        </w:rPr>
      </w:pPr>
      <w:r>
        <w:rPr>
          <w:rFonts w:ascii="Arial" w:cs="Arial" w:eastAsia="Arial" w:hAnsi="Arial"/>
          <w:sz w:val="13"/>
          <w:szCs w:val="13"/>
          <w:color w:val="auto"/>
        </w:rPr>
        <w:t>American depositary shares issuable upon deposit of Class A ordinary shares registered hereby will be registered under a separate registration statement on Form F-6 (Registration</w:t>
      </w:r>
    </w:p>
    <w:p>
      <w:pPr>
        <w:ind w:left="544"/>
        <w:spacing w:after="0" w:line="234" w:lineRule="auto"/>
        <w:rPr>
          <w:rFonts w:ascii="Arial" w:cs="Arial" w:eastAsia="Arial" w:hAnsi="Arial"/>
          <w:sz w:val="13"/>
          <w:szCs w:val="13"/>
          <w:color w:val="auto"/>
        </w:rPr>
      </w:pPr>
      <w:r>
        <w:rPr>
          <w:rFonts w:ascii="Arial" w:cs="Arial" w:eastAsia="Arial" w:hAnsi="Arial"/>
          <w:sz w:val="13"/>
          <w:szCs w:val="13"/>
          <w:color w:val="auto"/>
        </w:rPr>
        <w:t>No. 333-</w:t>
      </w:r>
      <w:r>
        <w:rPr>
          <w:rFonts w:ascii="Arial" w:cs="Arial" w:eastAsia="Arial" w:hAnsi="Arial"/>
          <w:sz w:val="12"/>
          <w:szCs w:val="12"/>
          <w:color w:val="auto"/>
        </w:rPr>
        <w:t>). Each American depositary share represents Class A ordinary shares.</w:t>
      </w:r>
    </w:p>
    <w:p>
      <w:pPr>
        <w:ind w:left="544" w:right="160" w:hanging="544"/>
        <w:spacing w:after="0" w:line="234" w:lineRule="auto"/>
        <w:tabs>
          <w:tab w:leader="none" w:pos="544"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Includes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1" w:lineRule="exact"/>
        <w:rPr>
          <w:rFonts w:ascii="Arial" w:cs="Arial" w:eastAsia="Arial" w:hAnsi="Arial"/>
          <w:sz w:val="12"/>
          <w:szCs w:val="12"/>
          <w:color w:val="auto"/>
        </w:rPr>
      </w:pPr>
    </w:p>
    <w:p>
      <w:pPr>
        <w:ind w:left="544" w:hanging="544"/>
        <w:spacing w:after="0" w:line="216" w:lineRule="auto"/>
        <w:tabs>
          <w:tab w:leader="none" w:pos="544"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457(o) under the Securities Act of 1933.</w:t>
      </w:r>
    </w:p>
    <w:p>
      <w:pPr>
        <w:ind w:left="544" w:hanging="544"/>
        <w:spacing w:after="0"/>
        <w:tabs>
          <w:tab w:leader="none" w:pos="544"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106045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0"/>
          <w:szCs w:val="20"/>
          <w:color w:val="auto"/>
        </w:rPr>
      </w:pPr>
    </w:p>
    <w:p>
      <w:pPr>
        <w:jc w:val="both"/>
        <w:ind w:left="4" w:right="520" w:firstLine="551"/>
        <w:spacing w:after="0" w:line="26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126"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2" w:lineRule="exact"/>
        <w:rPr>
          <w:sz w:val="20"/>
          <w:szCs w:val="20"/>
          <w:color w:val="auto"/>
        </w:rPr>
      </w:pPr>
    </w:p>
    <w:tbl>
      <w:tblPr>
        <w:tblLayout w:type="fixed"/>
        <w:tblInd w:w="3940" w:type="dxa"/>
        <w:tblCellMar>
          <w:top w:w="0" w:type="dxa"/>
          <w:left w:w="0" w:type="dxa"/>
          <w:bottom w:w="0" w:type="dxa"/>
          <w:right w:w="0" w:type="dxa"/>
        </w:tblCellMar>
      </w:tblPr>
      <w:tr>
        <w:trPr>
          <w:trHeight w:val="195"/>
        </w:trPr>
        <w:tc>
          <w:tcPr>
            <w:tcW w:w="2480" w:type="dxa"/>
            <w:vAlign w:val="bottom"/>
          </w:tcPr>
          <w:p>
            <w:pPr>
              <w:spacing w:after="0"/>
              <w:rPr>
                <w:sz w:val="20"/>
                <w:szCs w:val="20"/>
                <w:color w:val="auto"/>
              </w:rPr>
            </w:pPr>
            <w:r>
              <w:rPr>
                <w:rFonts w:ascii="Arial" w:cs="Arial" w:eastAsia="Arial" w:hAnsi="Arial"/>
                <w:sz w:val="16"/>
                <w:szCs w:val="16"/>
                <w:color w:val="CC062A"/>
              </w:rPr>
              <w:t>Subject to Completion. Dated</w:t>
            </w:r>
          </w:p>
        </w:tc>
        <w:tc>
          <w:tcPr>
            <w:tcW w:w="880" w:type="dxa"/>
            <w:vAlign w:val="bottom"/>
          </w:tcPr>
          <w:p>
            <w:pPr>
              <w:jc w:val="right"/>
              <w:spacing w:after="0"/>
              <w:rPr>
                <w:sz w:val="20"/>
                <w:szCs w:val="20"/>
                <w:color w:val="auto"/>
              </w:rPr>
            </w:pPr>
            <w:r>
              <w:rPr>
                <w:rFonts w:ascii="Arial" w:cs="Arial" w:eastAsia="Arial" w:hAnsi="Arial"/>
                <w:sz w:val="16"/>
                <w:szCs w:val="16"/>
                <w:color w:val="CC062A"/>
              </w:rPr>
              <w:t>, 2021.</w:t>
            </w:r>
          </w:p>
        </w:tc>
      </w:tr>
    </w:tbl>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99695</wp:posOffset>
            </wp:positionV>
            <wp:extent cx="2108835" cy="908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883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AiHuiShou International Co. Ltd.</w:t>
      </w:r>
    </w:p>
    <w:p>
      <w:pPr>
        <w:spacing w:after="0" w:line="318" w:lineRule="exact"/>
        <w:rPr>
          <w:sz w:val="20"/>
          <w:szCs w:val="20"/>
          <w:color w:val="auto"/>
        </w:rPr>
      </w:pPr>
    </w:p>
    <w:p>
      <w:pPr>
        <w:ind w:left="2720"/>
        <w:spacing w:after="0"/>
        <w:tabs>
          <w:tab w:leader="none" w:pos="5740" w:val="left"/>
        </w:tabs>
        <w:rPr>
          <w:sz w:val="20"/>
          <w:szCs w:val="20"/>
          <w:color w:val="auto"/>
        </w:rPr>
      </w:pPr>
      <w:r>
        <w:rPr>
          <w:rFonts w:ascii="Arial" w:cs="Arial" w:eastAsia="Arial" w:hAnsi="Arial"/>
          <w:sz w:val="25"/>
          <w:szCs w:val="25"/>
          <w:color w:val="auto"/>
        </w:rPr>
        <w:t>Representing</w:t>
      </w:r>
      <w:r>
        <w:rPr>
          <w:sz w:val="20"/>
          <w:szCs w:val="20"/>
          <w:color w:val="auto"/>
        </w:rPr>
        <w:tab/>
      </w:r>
      <w:r>
        <w:rPr>
          <w:rFonts w:ascii="Arial" w:cs="Arial" w:eastAsia="Arial" w:hAnsi="Arial"/>
          <w:sz w:val="25"/>
          <w:szCs w:val="25"/>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210820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This is an initial public offering of American depositary shares, or ADSs, of AiHuiShou International Co. Ltd.</w:t>
      </w:r>
    </w:p>
    <w:p>
      <w:pPr>
        <w:spacing w:after="0" w:line="165"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5"/>
          <w:szCs w:val="15"/>
          <w:color w:val="auto"/>
        </w:rPr>
        <w:t>We are offering</w:t>
      </w:r>
      <w:r>
        <w:rPr>
          <w:sz w:val="20"/>
          <w:szCs w:val="20"/>
          <w:color w:val="auto"/>
        </w:rPr>
        <w:tab/>
      </w:r>
      <w:r>
        <w:rPr>
          <w:rFonts w:ascii="Arial" w:cs="Arial" w:eastAsia="Arial" w:hAnsi="Arial"/>
          <w:sz w:val="15"/>
          <w:szCs w:val="15"/>
          <w:color w:val="auto"/>
        </w:rPr>
        <w:t>ADSs to be sold in the offering.</w:t>
      </w:r>
    </w:p>
    <w:p>
      <w:pPr>
        <w:spacing w:after="0" w:line="155" w:lineRule="exact"/>
        <w:rPr>
          <w:sz w:val="20"/>
          <w:szCs w:val="20"/>
          <w:color w:val="auto"/>
        </w:rPr>
      </w:pPr>
    </w:p>
    <w:p>
      <w:pPr>
        <w:ind w:left="660"/>
        <w:spacing w:after="0"/>
        <w:tabs>
          <w:tab w:leader="none" w:pos="8580" w:val="left"/>
        </w:tabs>
        <w:rPr>
          <w:sz w:val="20"/>
          <w:szCs w:val="20"/>
          <w:color w:val="auto"/>
        </w:rPr>
      </w:pPr>
      <w:r>
        <w:rPr>
          <w:rFonts w:ascii="Arial" w:cs="Arial" w:eastAsia="Arial" w:hAnsi="Arial"/>
          <w:sz w:val="15"/>
          <w:szCs w:val="15"/>
          <w:color w:val="auto"/>
        </w:rPr>
        <w:t>Prior to this offering, there has been no public market for our ADSs or ordinary shares. Each ADS represents</w:t>
      </w:r>
      <w:r>
        <w:rPr>
          <w:sz w:val="20"/>
          <w:szCs w:val="20"/>
          <w:color w:val="auto"/>
        </w:rPr>
        <w:tab/>
      </w:r>
      <w:r>
        <w:rPr>
          <w:rFonts w:ascii="Arial" w:cs="Arial" w:eastAsia="Arial" w:hAnsi="Arial"/>
          <w:sz w:val="15"/>
          <w:szCs w:val="15"/>
          <w:color w:val="auto"/>
        </w:rPr>
        <w:t>of our Class A ordinary shares, par</w:t>
      </w:r>
    </w:p>
    <w:p>
      <w:pPr>
        <w:ind w:left="120"/>
        <w:spacing w:after="0" w:line="225" w:lineRule="auto"/>
        <w:tabs>
          <w:tab w:leader="none" w:pos="7640" w:val="left"/>
          <w:tab w:leader="none" w:pos="8620" w:val="left"/>
        </w:tabs>
        <w:rPr>
          <w:sz w:val="20"/>
          <w:szCs w:val="20"/>
          <w:color w:val="auto"/>
        </w:rPr>
      </w:pPr>
      <w:r>
        <w:rPr>
          <w:rFonts w:ascii="Arial" w:cs="Arial" w:eastAsia="Arial" w:hAnsi="Arial"/>
          <w:sz w:val="15"/>
          <w:szCs w:val="15"/>
          <w:color w:val="auto"/>
        </w:rPr>
        <w:t>value US$0.001 per share. It is currently estimated that the initial public offering price will be between US$</w:t>
      </w:r>
      <w:r>
        <w:rPr>
          <w:sz w:val="20"/>
          <w:szCs w:val="20"/>
          <w:color w:val="auto"/>
        </w:rPr>
        <w:tab/>
      </w:r>
      <w:r>
        <w:rPr>
          <w:rFonts w:ascii="Arial" w:cs="Arial" w:eastAsia="Arial" w:hAnsi="Arial"/>
          <w:sz w:val="15"/>
          <w:szCs w:val="15"/>
          <w:color w:val="auto"/>
        </w:rPr>
        <w:t>and US$</w:t>
      </w:r>
      <w:r>
        <w:rPr>
          <w:sz w:val="20"/>
          <w:szCs w:val="20"/>
          <w:color w:val="auto"/>
        </w:rPr>
        <w:tab/>
      </w:r>
      <w:r>
        <w:rPr>
          <w:rFonts w:ascii="Arial" w:cs="Arial" w:eastAsia="Arial" w:hAnsi="Arial"/>
          <w:sz w:val="15"/>
          <w:szCs w:val="15"/>
          <w:color w:val="auto"/>
        </w:rPr>
        <w:t>per ADS. Application will be made</w:t>
      </w:r>
    </w:p>
    <w:p>
      <w:pPr>
        <w:ind w:left="120"/>
        <w:spacing w:after="0"/>
        <w:rPr>
          <w:sz w:val="20"/>
          <w:szCs w:val="20"/>
          <w:color w:val="auto"/>
        </w:rPr>
      </w:pPr>
      <w:r>
        <w:rPr>
          <w:rFonts w:ascii="Arial" w:cs="Arial" w:eastAsia="Arial" w:hAnsi="Arial"/>
          <w:sz w:val="15"/>
          <w:szCs w:val="15"/>
          <w:color w:val="auto"/>
        </w:rPr>
        <w:t>for listing on the New York Stock Exchange under the symbol “RERE.”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209550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660"/>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See “</w:t>
      </w:r>
      <w:hyperlink w:anchor="page33">
        <w:r>
          <w:rPr>
            <w:rFonts w:ascii="Arial" w:cs="Arial" w:eastAsia="Arial" w:hAnsi="Arial"/>
            <w:sz w:val="15"/>
            <w:szCs w:val="15"/>
            <w:i w:val="1"/>
            <w:iCs w:val="1"/>
            <w:u w:val="single" w:color="auto"/>
            <w:color w:val="0000EE"/>
          </w:rPr>
          <w:t>Risk Factors</w:t>
        </w:r>
      </w:hyperlink>
      <w:r>
        <w:rPr>
          <w:rFonts w:ascii="Arial" w:cs="Arial" w:eastAsia="Arial" w:hAnsi="Arial"/>
          <w:sz w:val="15"/>
          <w:szCs w:val="15"/>
          <w:i w:val="1"/>
          <w:iCs w:val="1"/>
          <w:color w:val="auto"/>
        </w:rPr>
        <w:t>” on page 24 to read about factors you should consider before buying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right="300" w:firstLine="551"/>
        <w:spacing w:after="0" w:line="267" w:lineRule="auto"/>
        <w:rPr>
          <w:sz w:val="20"/>
          <w:szCs w:val="20"/>
          <w:color w:val="auto"/>
        </w:rPr>
      </w:pPr>
      <w:r>
        <w:rPr>
          <w:rFonts w:ascii="Arial" w:cs="Arial" w:eastAsia="Arial" w:hAnsi="Arial"/>
          <w:sz w:val="15"/>
          <w:szCs w:val="15"/>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34" w:lineRule="exact"/>
        <w:rPr>
          <w:sz w:val="20"/>
          <w:szCs w:val="20"/>
          <w:color w:val="auto"/>
        </w:rPr>
      </w:pPr>
    </w:p>
    <w:p>
      <w:pPr>
        <w:ind w:left="120" w:right="160" w:firstLine="551"/>
        <w:spacing w:after="0" w:line="225" w:lineRule="auto"/>
        <w:rPr>
          <w:sz w:val="20"/>
          <w:szCs w:val="20"/>
          <w:color w:val="auto"/>
        </w:rPr>
      </w:pPr>
      <w:r>
        <w:rPr>
          <w:rFonts w:ascii="Arial" w:cs="Arial" w:eastAsia="Arial" w:hAnsi="Arial"/>
          <w:sz w:val="15"/>
          <w:szCs w:val="15"/>
          <w:color w:val="auto"/>
        </w:rPr>
        <w:t>Following the completion of this offering, our outstanding share capital will consist of Class A ordinary shares, Class B ordinary shares and Class C ordinary shares. Mr. Kerry Xuefeng Chen, our co-founder, chairman and chief executive officer, will beneficially own all of our issued Class C ordinary shares and</w:t>
      </w:r>
    </w:p>
    <w:p>
      <w:pPr>
        <w:spacing w:after="0" w:line="1" w:lineRule="exact"/>
        <w:rPr>
          <w:sz w:val="20"/>
          <w:szCs w:val="20"/>
          <w:color w:val="auto"/>
        </w:rPr>
      </w:pPr>
    </w:p>
    <w:p>
      <w:pPr>
        <w:ind w:left="120" w:right="200"/>
        <w:spacing w:after="0" w:line="225" w:lineRule="auto"/>
        <w:rPr>
          <w:sz w:val="20"/>
          <w:szCs w:val="20"/>
          <w:color w:val="auto"/>
        </w:rPr>
      </w:pPr>
      <w:r>
        <w:rPr>
          <w:rFonts w:ascii="Arial" w:cs="Arial" w:eastAsia="Arial" w:hAnsi="Arial"/>
          <w:sz w:val="15"/>
          <w:szCs w:val="15"/>
          <w:color w:val="auto"/>
        </w:rPr>
        <w:t>will be able to exercise approximately % of the total voting power of our issued and outstanding share capital immediately following the completion of this offering, assuming that the underwriters do not exercise their over-allotment option. JD.com Development Limited will beneficially own all of our issued Class B</w:t>
      </w:r>
    </w:p>
    <w:p>
      <w:pPr>
        <w:spacing w:after="0" w:line="1" w:lineRule="exact"/>
        <w:rPr>
          <w:sz w:val="20"/>
          <w:szCs w:val="20"/>
          <w:color w:val="auto"/>
        </w:rPr>
      </w:pPr>
    </w:p>
    <w:p>
      <w:pPr>
        <w:ind w:left="120" w:right="40"/>
        <w:spacing w:after="0" w:line="229" w:lineRule="auto"/>
        <w:rPr>
          <w:sz w:val="20"/>
          <w:szCs w:val="20"/>
          <w:color w:val="auto"/>
        </w:rPr>
      </w:pPr>
      <w:r>
        <w:rPr>
          <w:rFonts w:ascii="Arial" w:cs="Arial" w:eastAsia="Arial" w:hAnsi="Arial"/>
          <w:sz w:val="15"/>
          <w:szCs w:val="15"/>
          <w:color w:val="auto"/>
        </w:rPr>
        <w:t>ordinary shares and will be able to exercise approximately % of the total voting power of our issued and outstanding share capital immediately following the completion of this offering, assuming that the underwriters do not exercise their over-allotment option. Holders of Class A ordinary shares, Class B ordinary shares and Class C ordinary shares have the same rights other than voting and conversion rights. Each holder of Class A ordinary shares is entitled to one vote per share, each holder of Class B ordinary shares is entitled to three votes per share and each holder of Class C ordinary shares is entitled to fifteen votes per share on all matters submitted to them for a vote. Our Class A ordinary shares, Class B ordinary shares and Class C ordinary shares vote together as a single class on all matters submitted to a vote of our shareholders, except as may otherwise be required by law. Each of the Class B ordinary shares and Class C ordinary shares is convertible into one Class A ordinary share, whereas Class A ordinary shares are not convertible into Class B ordinary shares or Class C ordinary shares under any circumstances. Class B ordinary shares are not convertible into Class C ordinary shares,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940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5"/>
                <w:szCs w:val="15"/>
                <w:color w:val="auto"/>
              </w:rPr>
              <w:t>Per ADS</w:t>
            </w:r>
          </w:p>
        </w:tc>
        <w:tc>
          <w:tcPr>
            <w:tcW w:w="720" w:type="dxa"/>
            <w:vAlign w:val="bottom"/>
            <w:gridSpan w:val="2"/>
          </w:tcPr>
          <w:p>
            <w:pPr>
              <w:ind w:left="180"/>
              <w:spacing w:after="0"/>
              <w:rPr>
                <w:sz w:val="20"/>
                <w:szCs w:val="20"/>
                <w:color w:val="auto"/>
              </w:rPr>
            </w:pPr>
            <w:r>
              <w:rPr>
                <w:rFonts w:ascii="Arial" w:cs="Arial" w:eastAsia="Arial" w:hAnsi="Arial"/>
                <w:sz w:val="15"/>
                <w:szCs w:val="15"/>
                <w:color w:val="auto"/>
              </w:rPr>
              <w:t>Total</w:t>
            </w:r>
          </w:p>
        </w:tc>
      </w:tr>
      <w:tr>
        <w:trPr>
          <w:trHeight w:val="155"/>
        </w:trPr>
        <w:tc>
          <w:tcPr>
            <w:tcW w:w="94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Initial public offering price</w:t>
            </w:r>
          </w:p>
        </w:tc>
        <w:tc>
          <w:tcPr>
            <w:tcW w:w="640" w:type="dxa"/>
            <w:vAlign w:val="bottom"/>
            <w:tcBorders>
              <w:top w:val="single" w:sz="8" w:color="auto"/>
            </w:tcBorders>
            <w:shd w:val="clear" w:color="auto" w:fill="CCEEFF"/>
          </w:tcPr>
          <w:p>
            <w:pPr>
              <w:jc w:val="right"/>
              <w:ind w:right="501"/>
              <w:spacing w:after="0" w:line="156" w:lineRule="exact"/>
              <w:rPr>
                <w:sz w:val="20"/>
                <w:szCs w:val="20"/>
                <w:color w:val="auto"/>
              </w:rPr>
            </w:pPr>
            <w:r>
              <w:rPr>
                <w:rFonts w:ascii="Arial" w:cs="Arial" w:eastAsia="Arial" w:hAnsi="Arial"/>
                <w:sz w:val="15"/>
                <w:szCs w:val="15"/>
                <w:color w:val="auto"/>
                <w:w w:val="71"/>
              </w:rPr>
              <w:t>$</w:t>
            </w:r>
          </w:p>
        </w:tc>
        <w:tc>
          <w:tcPr>
            <w:tcW w:w="2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01"/>
              <w:spacing w:after="0" w:line="156" w:lineRule="exact"/>
              <w:rPr>
                <w:sz w:val="20"/>
                <w:szCs w:val="20"/>
                <w:color w:val="auto"/>
              </w:rPr>
            </w:pPr>
            <w:r>
              <w:rPr>
                <w:rFonts w:ascii="Arial" w:cs="Arial" w:eastAsia="Arial" w:hAnsi="Arial"/>
                <w:sz w:val="15"/>
                <w:szCs w:val="15"/>
                <w:color w:val="auto"/>
                <w:w w:val="95"/>
              </w:rPr>
              <w:t>$</w:t>
            </w:r>
          </w:p>
        </w:tc>
        <w:tc>
          <w:tcPr>
            <w:tcW w:w="60" w:type="dxa"/>
            <w:vAlign w:val="bottom"/>
            <w:tcBorders>
              <w:top w:val="single" w:sz="8" w:color="CCEEFF"/>
            </w:tcBorders>
            <w:shd w:val="clear" w:color="auto" w:fill="CCEEFF"/>
          </w:tcPr>
          <w:p>
            <w:pPr>
              <w:spacing w:after="0"/>
              <w:rPr>
                <w:sz w:val="13"/>
                <w:szCs w:val="13"/>
                <w:color w:val="auto"/>
              </w:rPr>
            </w:pPr>
          </w:p>
        </w:tc>
      </w:tr>
      <w:tr>
        <w:trPr>
          <w:trHeight w:val="4"/>
        </w:trPr>
        <w:tc>
          <w:tcPr>
            <w:tcW w:w="9400" w:type="dxa"/>
            <w:vAlign w:val="bottom"/>
          </w:tcPr>
          <w:p>
            <w:pPr>
              <w:spacing w:after="0" w:line="4" w:lineRule="exact"/>
              <w:rPr>
                <w:sz w:val="20"/>
                <w:szCs w:val="20"/>
                <w:color w:val="auto"/>
              </w:rPr>
            </w:pPr>
            <w:r>
              <w:rPr>
                <w:rFonts w:ascii="Arial" w:cs="Arial" w:eastAsia="Arial" w:hAnsi="Arial"/>
                <w:sz w:val="1"/>
                <w:szCs w:val="1"/>
                <w:color w:val="auto"/>
              </w:rPr>
              <w:t>Underwriting discount</w:t>
            </w:r>
          </w:p>
        </w:tc>
        <w:tc>
          <w:tcPr>
            <w:tcW w:w="640" w:type="dxa"/>
            <w:vAlign w:val="bottom"/>
          </w:tcPr>
          <w:p>
            <w:pPr>
              <w:jc w:val="right"/>
              <w:ind w:right="501"/>
              <w:spacing w:after="0" w:line="4" w:lineRule="exact"/>
              <w:rPr>
                <w:sz w:val="20"/>
                <w:szCs w:val="20"/>
                <w:color w:val="auto"/>
              </w:rPr>
            </w:pPr>
            <w:r>
              <w:rPr>
                <w:rFonts w:ascii="Arial" w:cs="Arial" w:eastAsia="Arial" w:hAnsi="Arial"/>
                <w:sz w:val="1"/>
                <w:szCs w:val="1"/>
                <w:color w:val="auto"/>
              </w:rPr>
              <w:t>$</w:t>
            </w:r>
          </w:p>
        </w:tc>
        <w:tc>
          <w:tcPr>
            <w:tcW w:w="260" w:type="dxa"/>
            <w:vAlign w:val="bottom"/>
          </w:tcPr>
          <w:p>
            <w:pPr>
              <w:spacing w:after="0" w:line="20" w:lineRule="exact"/>
              <w:rPr>
                <w:sz w:val="1"/>
                <w:szCs w:val="1"/>
                <w:color w:val="auto"/>
              </w:rPr>
            </w:pPr>
          </w:p>
        </w:tc>
        <w:tc>
          <w:tcPr>
            <w:tcW w:w="660" w:type="dxa"/>
            <w:vAlign w:val="bottom"/>
          </w:tcPr>
          <w:p>
            <w:pPr>
              <w:jc w:val="right"/>
              <w:ind w:right="501"/>
              <w:spacing w:after="0" w:line="4" w:lineRule="exact"/>
              <w:rPr>
                <w:sz w:val="20"/>
                <w:szCs w:val="20"/>
                <w:color w:val="auto"/>
              </w:rPr>
            </w:pPr>
            <w:r>
              <w:rPr>
                <w:rFonts w:ascii="Arial" w:cs="Arial" w:eastAsia="Arial" w:hAnsi="Arial"/>
                <w:sz w:val="1"/>
                <w:szCs w:val="1"/>
                <w:color w:val="auto"/>
              </w:rPr>
              <w:t>$</w:t>
            </w:r>
          </w:p>
        </w:tc>
        <w:tc>
          <w:tcPr>
            <w:tcW w:w="60" w:type="dxa"/>
            <w:vAlign w:val="bottom"/>
          </w:tcPr>
          <w:p>
            <w:pPr>
              <w:spacing w:after="0" w:line="20" w:lineRule="exact"/>
              <w:rPr>
                <w:sz w:val="1"/>
                <w:szCs w:val="1"/>
                <w:color w:val="auto"/>
              </w:rPr>
            </w:pPr>
          </w:p>
        </w:tc>
      </w:tr>
      <w:tr>
        <w:trPr>
          <w:trHeight w:val="157"/>
        </w:trPr>
        <w:tc>
          <w:tcPr>
            <w:tcW w:w="9400" w:type="dxa"/>
            <w:vAlign w:val="bottom"/>
          </w:tcPr>
          <w:p>
            <w:pPr>
              <w:jc w:val="right"/>
              <w:ind w:right="7724"/>
              <w:spacing w:after="0"/>
              <w:rPr>
                <w:sz w:val="20"/>
                <w:szCs w:val="20"/>
                <w:color w:val="auto"/>
              </w:rPr>
            </w:pPr>
            <w:r>
              <w:rPr>
                <w:rFonts w:ascii="Arial" w:cs="Arial" w:eastAsia="Arial" w:hAnsi="Arial"/>
                <w:sz w:val="13"/>
                <w:szCs w:val="13"/>
                <w:color w:val="auto"/>
              </w:rPr>
              <w:t>(1)</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3"/>
        </w:trPr>
        <w:tc>
          <w:tcPr>
            <w:tcW w:w="9400" w:type="dxa"/>
            <w:vAlign w:val="bottom"/>
            <w:shd w:val="clear" w:color="auto" w:fill="CCEEFF"/>
          </w:tcPr>
          <w:p>
            <w:pPr>
              <w:spacing w:after="0" w:line="164" w:lineRule="exact"/>
              <w:rPr>
                <w:sz w:val="20"/>
                <w:szCs w:val="20"/>
                <w:color w:val="auto"/>
              </w:rPr>
            </w:pPr>
            <w:r>
              <w:rPr>
                <w:rFonts w:ascii="Arial" w:cs="Arial" w:eastAsia="Arial" w:hAnsi="Arial"/>
                <w:sz w:val="15"/>
                <w:szCs w:val="15"/>
                <w:color w:val="auto"/>
              </w:rPr>
              <w:t>Proceeds, before expenses, to us</w:t>
            </w:r>
          </w:p>
        </w:tc>
        <w:tc>
          <w:tcPr>
            <w:tcW w:w="640" w:type="dxa"/>
            <w:vAlign w:val="bottom"/>
            <w:shd w:val="clear" w:color="auto" w:fill="CCEEFF"/>
          </w:tcPr>
          <w:p>
            <w:pPr>
              <w:jc w:val="right"/>
              <w:ind w:right="501"/>
              <w:spacing w:after="0" w:line="164" w:lineRule="exact"/>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1"/>
              <w:spacing w:after="0" w:line="164" w:lineRule="exact"/>
              <w:rPr>
                <w:sz w:val="20"/>
                <w:szCs w:val="20"/>
                <w:color w:val="auto"/>
              </w:rPr>
            </w:pPr>
            <w:r>
              <w:rPr>
                <w:rFonts w:ascii="Arial" w:cs="Arial" w:eastAsia="Arial" w:hAnsi="Arial"/>
                <w:sz w:val="15"/>
                <w:szCs w:val="15"/>
                <w:color w:val="auto"/>
                <w:w w:val="95"/>
              </w:rPr>
              <w:t>$</w:t>
            </w:r>
          </w:p>
        </w:tc>
        <w:tc>
          <w:tcPr>
            <w:tcW w:w="6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information regarding underwriting compensation.</w:t>
      </w:r>
    </w:p>
    <w:p>
      <w:pPr>
        <w:spacing w:after="0" w:line="158" w:lineRule="exact"/>
        <w:rPr>
          <w:sz w:val="20"/>
          <w:szCs w:val="20"/>
          <w:color w:val="auto"/>
        </w:rPr>
      </w:pPr>
    </w:p>
    <w:p>
      <w:pPr>
        <w:ind w:left="660"/>
        <w:spacing w:after="0"/>
        <w:tabs>
          <w:tab w:leader="none" w:pos="4560" w:val="left"/>
          <w:tab w:leader="none" w:pos="9940" w:val="left"/>
        </w:tabs>
        <w:rPr>
          <w:sz w:val="20"/>
          <w:szCs w:val="20"/>
          <w:color w:val="auto"/>
        </w:rPr>
      </w:pPr>
      <w:r>
        <w:rPr>
          <w:rFonts w:ascii="Arial" w:cs="Arial" w:eastAsia="Arial" w:hAnsi="Arial"/>
          <w:sz w:val="15"/>
          <w:szCs w:val="15"/>
          <w:color w:val="auto"/>
        </w:rPr>
        <w:t>To the extent that the underwriters sell more than</w:t>
      </w:r>
      <w:r>
        <w:rPr>
          <w:sz w:val="20"/>
          <w:szCs w:val="20"/>
          <w:color w:val="auto"/>
        </w:rPr>
        <w:tab/>
      </w:r>
      <w:r>
        <w:rPr>
          <w:rFonts w:ascii="Arial" w:cs="Arial" w:eastAsia="Arial" w:hAnsi="Arial"/>
          <w:sz w:val="15"/>
          <w:szCs w:val="15"/>
          <w:color w:val="auto"/>
        </w:rPr>
        <w:t>ADSs, the underwriters have the option to purchase up to an additional</w:t>
      </w:r>
      <w:r>
        <w:rPr>
          <w:sz w:val="20"/>
          <w:szCs w:val="20"/>
          <w:color w:val="auto"/>
        </w:rPr>
        <w:tab/>
      </w:r>
      <w:r>
        <w:rPr>
          <w:rFonts w:ascii="Arial" w:cs="Arial" w:eastAsia="Arial" w:hAnsi="Arial"/>
          <w:sz w:val="15"/>
          <w:szCs w:val="15"/>
          <w:color w:val="auto"/>
        </w:rPr>
        <w:t>ADSs from us at</w:t>
      </w:r>
    </w:p>
    <w:p>
      <w:pPr>
        <w:ind w:left="120"/>
        <w:spacing w:after="0"/>
        <w:rPr>
          <w:sz w:val="20"/>
          <w:szCs w:val="20"/>
          <w:color w:val="auto"/>
        </w:rPr>
      </w:pPr>
      <w:r>
        <w:rPr>
          <w:rFonts w:ascii="Arial" w:cs="Arial" w:eastAsia="Arial" w:hAnsi="Arial"/>
          <w:sz w:val="15"/>
          <w:szCs w:val="15"/>
          <w:color w:val="auto"/>
        </w:rPr>
        <w:t>the initial public offering price less the underwriting discount.</w:t>
      </w:r>
    </w:p>
    <w:p>
      <w:pPr>
        <w:spacing w:after="0" w:line="165" w:lineRule="exact"/>
        <w:rPr>
          <w:sz w:val="20"/>
          <w:szCs w:val="20"/>
          <w:color w:val="auto"/>
        </w:rPr>
      </w:pPr>
    </w:p>
    <w:p>
      <w:pPr>
        <w:ind w:left="660"/>
        <w:spacing w:after="0"/>
        <w:tabs>
          <w:tab w:leader="none" w:pos="7980" w:val="left"/>
        </w:tabs>
        <w:rPr>
          <w:sz w:val="20"/>
          <w:szCs w:val="20"/>
          <w:color w:val="auto"/>
        </w:rPr>
      </w:pPr>
      <w:r>
        <w:rPr>
          <w:rFonts w:ascii="Arial" w:cs="Arial" w:eastAsia="Arial" w:hAnsi="Arial"/>
          <w:sz w:val="15"/>
          <w:szCs w:val="15"/>
          <w:color w:val="auto"/>
        </w:rPr>
        <w:t>The underwriters expect to deliver the ADSs against payment in [New York, New York on or about</w:t>
      </w:r>
      <w:r>
        <w:rPr>
          <w:sz w:val="20"/>
          <w:szCs w:val="20"/>
          <w:color w:val="auto"/>
        </w:rPr>
        <w:tab/>
      </w:r>
      <w:r>
        <w:rPr>
          <w:rFonts w:ascii="Arial" w:cs="Arial" w:eastAsia="Arial" w:hAnsi="Arial"/>
          <w:sz w:val="14"/>
          <w:szCs w:val="14"/>
          <w:color w:val="auto"/>
        </w:rPr>
        <w:t>, 2021.]</w:t>
      </w:r>
    </w:p>
    <w:p>
      <w:pPr>
        <w:spacing w:after="0" w:line="178" w:lineRule="exact"/>
        <w:rPr>
          <w:sz w:val="20"/>
          <w:szCs w:val="20"/>
          <w:color w:val="auto"/>
        </w:rPr>
      </w:pPr>
    </w:p>
    <w:p>
      <w:pPr>
        <w:ind w:left="980"/>
        <w:spacing w:after="0"/>
        <w:tabs>
          <w:tab w:leader="none" w:pos="4720" w:val="left"/>
          <w:tab w:leader="none" w:pos="8200" w:val="left"/>
        </w:tabs>
        <w:rPr>
          <w:sz w:val="20"/>
          <w:szCs w:val="20"/>
          <w:color w:val="auto"/>
        </w:rPr>
      </w:pPr>
      <w:r>
        <w:rPr>
          <w:rFonts w:ascii="Arial" w:cs="Arial" w:eastAsia="Arial" w:hAnsi="Arial"/>
          <w:sz w:val="25"/>
          <w:szCs w:val="25"/>
          <w:b w:val="1"/>
          <w:bCs w:val="1"/>
          <w:color w:val="auto"/>
        </w:rPr>
        <w:t>Goldman Sachs</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China Renaissance</w:t>
      </w:r>
    </w:p>
    <w:p>
      <w:pPr>
        <w:spacing w:after="0" w:line="34" w:lineRule="exact"/>
        <w:rPr>
          <w:sz w:val="20"/>
          <w:szCs w:val="20"/>
          <w:color w:val="auto"/>
        </w:rPr>
      </w:pPr>
    </w:p>
    <w:p>
      <w:pPr>
        <w:ind w:left="1660"/>
        <w:spacing w:after="0"/>
        <w:tabs>
          <w:tab w:leader="none" w:pos="5380" w:val="left"/>
          <w:tab w:leader="none" w:pos="8660" w:val="left"/>
        </w:tabs>
        <w:rPr>
          <w:sz w:val="20"/>
          <w:szCs w:val="20"/>
          <w:color w:val="auto"/>
        </w:rPr>
      </w:pPr>
      <w:r>
        <w:rPr>
          <w:rFonts w:ascii="Arial" w:cs="Arial" w:eastAsia="Arial" w:hAnsi="Arial"/>
          <w:sz w:val="22"/>
          <w:szCs w:val="22"/>
          <w:b w:val="1"/>
          <w:bCs w:val="1"/>
          <w:color w:val="auto"/>
        </w:rPr>
        <w:t>GTJA</w:t>
      </w:r>
      <w:r>
        <w:rPr>
          <w:sz w:val="20"/>
          <w:szCs w:val="20"/>
          <w:color w:val="auto"/>
        </w:rPr>
        <w:tab/>
      </w:r>
      <w:r>
        <w:rPr>
          <w:rFonts w:ascii="Arial" w:cs="Arial" w:eastAsia="Arial" w:hAnsi="Arial"/>
          <w:sz w:val="22"/>
          <w:szCs w:val="22"/>
          <w:b w:val="1"/>
          <w:bCs w:val="1"/>
          <w:color w:val="auto"/>
        </w:rPr>
        <w:t>CLSA</w:t>
      </w:r>
      <w:r>
        <w:rPr>
          <w:sz w:val="20"/>
          <w:szCs w:val="20"/>
          <w:color w:val="auto"/>
        </w:rPr>
        <w:tab/>
      </w:r>
      <w:r>
        <w:rPr>
          <w:rFonts w:ascii="Arial" w:cs="Arial" w:eastAsia="Arial" w:hAnsi="Arial"/>
          <w:sz w:val="21"/>
          <w:szCs w:val="21"/>
          <w:b w:val="1"/>
          <w:bCs w:val="1"/>
          <w:color w:val="auto"/>
        </w:rPr>
        <w:t>Tiger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4300"/>
        <w:spacing w:after="0"/>
        <w:tabs>
          <w:tab w:leader="none" w:pos="644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6"/>
          <w:szCs w:val="16"/>
          <w:color w:val="auto"/>
        </w:rPr>
        <w:t>, 2021.</w:t>
      </w:r>
    </w:p>
    <w:p>
      <w:pPr>
        <w:sectPr>
          <w:pgSz w:w="11900" w:h="16838" w:orient="portrait"/>
          <w:cols w:equalWidth="0" w:num="1">
            <w:col w:w="11140"/>
          </w:cols>
          <w:pgMar w:left="320" w:top="459" w:right="439" w:bottom="144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220345</wp:posOffset>
            </wp:positionV>
            <wp:extent cx="5529580" cy="7818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29580" cy="78181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220345</wp:posOffset>
            </wp:positionV>
            <wp:extent cx="5529580" cy="78181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29580" cy="781812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LETTER FROM THE FOUNDER</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Investors,</w:t>
      </w:r>
    </w:p>
    <w:p>
      <w:pPr>
        <w:spacing w:after="0" w:line="104" w:lineRule="exact"/>
        <w:rPr>
          <w:sz w:val="20"/>
          <w:szCs w:val="20"/>
          <w:color w:val="auto"/>
        </w:rPr>
      </w:pPr>
    </w:p>
    <w:p>
      <w:pPr>
        <w:ind w:left="120" w:right="140" w:firstLine="551"/>
        <w:spacing w:after="0" w:line="210" w:lineRule="exact"/>
        <w:rPr>
          <w:sz w:val="20"/>
          <w:szCs w:val="20"/>
          <w:color w:val="auto"/>
        </w:rPr>
      </w:pPr>
      <w:r>
        <w:rPr>
          <w:rFonts w:ascii="Arial" w:cs="Arial" w:eastAsia="Arial" w:hAnsi="Arial"/>
          <w:sz w:val="17"/>
          <w:szCs w:val="17"/>
          <w:color w:val="auto"/>
        </w:rPr>
        <w:t xml:space="preserve">Thank you for your interest in us. We operate the largest pre-owned consumer electronics transactions and services platform in China under our brand “ATRenew”, meaning all things renew in English and </w:t>
      </w:r>
      <w:r>
        <w:rPr>
          <w:rFonts w:ascii="SimSun" w:cs="SimSun" w:eastAsia="SimSun" w:hAnsi="SimSun"/>
          <w:sz w:val="15"/>
          <w:szCs w:val="15"/>
          <w:color w:val="auto"/>
        </w:rPr>
        <w:t>万物新生</w:t>
      </w:r>
      <w:r>
        <w:rPr>
          <w:rFonts w:ascii="Arial" w:cs="Arial" w:eastAsia="Arial" w:hAnsi="Arial"/>
          <w:sz w:val="17"/>
          <w:szCs w:val="17"/>
          <w:color w:val="auto"/>
        </w:rPr>
        <w:t xml:space="preserve"> in Chinese. I am excited to share with you our path,</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opportunity, vision, value proposition and my view of our future.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beginning: focus on creating long term value despite difficulties</w:t>
      </w:r>
    </w:p>
    <w:p>
      <w:pPr>
        <w:spacing w:after="0" w:line="12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started our smartphone recycling business a decade ago when mobile internet and smartphones were in their infancy. We set a key principle early on: “dare to be different.” We wanted to do something that would create value in the long run – even if that did not attract much attention and may be difficult to do at the 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opportunity: to redefine an “overlooked” industry</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For entrepreneurship, being “overlooked” is not necessarily a bad thing, as there are many examples of success that came from being “overlooked” or misunderstood. For a long time, we were misunderstood by others as a company that simply dismantles smartphones and re-purposes metals. The most common questions we face include: are pre-owned smartphones worth transacting? Who would like to purchase a pre-owned mobile phone?</w:t>
      </w:r>
    </w:p>
    <w:p>
      <w:pPr>
        <w:spacing w:after="0" w:line="205"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see tremendous opportunities for the rising pre-owned consumer electronics transaction industry. According to the CIC Report, the annual new device shipment volume of consumer electronics in China exceeded 530 million in 2020. The average selling price of smartphones has been rising in recent years. For example, a pre-owned device that was originally released seven years ago (such as an iPhone 6) could still easily be sold at a reasonable price today. There were a total of 2.6 billion consumer electronic devices that still have use value in China in 2020, but a large portion of them are idle. In China, there is a large population with relatively low disposable income while having a strong demand for good quality and value-for-money pre-owned consumer electronics. Looking beyond China, we believe that pre-owned devices transaction is naturally a global business. For example, we estimate that an iPhone’s life cycle typically lasts for several years, where each device can be transacted a few times from developed economies and top-tier cities in China to lower-tier cities in China, and to other developing economies in the world.</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Driven by the large churn of upgraded devices, and the strong consumer demand in lower-tier cities and from the export market, China’s pre-owned consumer electronics industry is enormous while being complex. Multiple layers of the traditional distribution channel lead to an average markup of 60%-80% for a pre-owned device from its original recycling price. We saw an opportunity to set new industry standards by making transactions and services more user-friendly, efficient, transparent, secure, and environmentally friendly.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vision: to transform pre-owned consumer electronics transactions and services globally by leveraging technology</w:t>
      </w:r>
    </w:p>
    <w:p>
      <w:pPr>
        <w:spacing w:after="0" w:line="126"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We have built our end-to-end platform to transform the inefficient traditional pre-owned consumer electronics value chain in China. Our goal is to recycle from consumers and sell directly to consumers. Through delivering the best transaction experience, we directly engage with individual sellers to obtain primary source of devices, and skip the traditional multiple layers of transactions. The platform then</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40"/>
        <w:spacing w:after="0" w:line="246" w:lineRule="auto"/>
        <w:rPr>
          <w:sz w:val="20"/>
          <w:szCs w:val="20"/>
          <w:color w:val="auto"/>
        </w:rPr>
      </w:pPr>
      <w:r>
        <w:rPr>
          <w:rFonts w:ascii="Arial" w:cs="Arial" w:eastAsia="Arial" w:hAnsi="Arial"/>
          <w:sz w:val="18"/>
          <w:szCs w:val="18"/>
          <w:color w:val="auto"/>
        </w:rPr>
        <w:t>provides standardized inspection and grading, maintenance and other value-added services, before selling to buyers, with quality guarantee and warranty. In this way, we have created the most direct path of the value chain.</w:t>
      </w:r>
    </w:p>
    <w:p>
      <w:pPr>
        <w:spacing w:after="0" w:line="197"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also seek to grow our international presence. We plan to increase the global circulation of pre-owned devices and to empower the existing value chain overseas by leveraging our technological advances, particularly our automatic testing process. We believe that technology will be a driving force to increase the efficiency of global circulation and extend the lifecycle of pre-owned products, benefitting the world from both economic and sustainability perspectives.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 proposition: an open platform driven by supply chain capabilities and technology</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believe that building an open platform driven by supply chain capabilities and technology is the key to success in the pre-owned consumer electronics industry. China’s pre-owned consumer electronics market lacks sufficient supply as the recycling channels are fragmented, while many pre-owned devices are idle and not recycled.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execute on the following three principles to strengthen our core capabilities:</w:t>
      </w:r>
    </w:p>
    <w:p>
      <w:pPr>
        <w:spacing w:after="0" w:line="338" w:lineRule="exact"/>
        <w:rPr>
          <w:sz w:val="20"/>
          <w:szCs w:val="20"/>
          <w:color w:val="auto"/>
        </w:rPr>
      </w:pPr>
    </w:p>
    <w:p>
      <w:pPr>
        <w:ind w:left="660" w:hanging="54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Principle #1: supply chain capability as the core competency</w:t>
      </w:r>
    </w:p>
    <w:p>
      <w:pPr>
        <w:spacing w:after="0" w:line="139" w:lineRule="exact"/>
        <w:rPr>
          <w:rFonts w:ascii="Arial" w:cs="Arial" w:eastAsia="Arial" w:hAnsi="Arial"/>
          <w:sz w:val="18"/>
          <w:szCs w:val="18"/>
          <w:color w:val="auto"/>
        </w:rPr>
      </w:pPr>
    </w:p>
    <w:p>
      <w:pPr>
        <w:ind w:left="660" w:right="440"/>
        <w:spacing w:after="0" w:line="246" w:lineRule="auto"/>
        <w:rPr>
          <w:rFonts w:ascii="Arial" w:cs="Arial" w:eastAsia="Arial" w:hAnsi="Arial"/>
          <w:sz w:val="18"/>
          <w:szCs w:val="18"/>
          <w:color w:val="auto"/>
        </w:rPr>
      </w:pPr>
      <w:r>
        <w:rPr>
          <w:rFonts w:ascii="Arial" w:cs="Arial" w:eastAsia="Arial" w:hAnsi="Arial"/>
          <w:sz w:val="18"/>
          <w:szCs w:val="18"/>
          <w:color w:val="auto"/>
        </w:rPr>
        <w:t>Supply chain is the core competency in the under-supplied industry. We have invested heavily in our supply chain capabilities, including inspection, grading, pricing, quality control, and after-sales services.</w:t>
      </w:r>
    </w:p>
    <w:p>
      <w:pPr>
        <w:spacing w:after="0" w:line="323" w:lineRule="exact"/>
        <w:rPr>
          <w:rFonts w:ascii="Arial" w:cs="Arial" w:eastAsia="Arial" w:hAnsi="Arial"/>
          <w:sz w:val="18"/>
          <w:szCs w:val="18"/>
          <w:color w:val="auto"/>
        </w:rPr>
      </w:pPr>
    </w:p>
    <w:p>
      <w:pPr>
        <w:ind w:left="660" w:hanging="54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Principle #2: empowering the industry and its participants</w:t>
      </w:r>
    </w:p>
    <w:p>
      <w:pPr>
        <w:spacing w:after="0" w:line="139" w:lineRule="exact"/>
        <w:rPr>
          <w:rFonts w:ascii="Arial" w:cs="Arial" w:eastAsia="Arial" w:hAnsi="Arial"/>
          <w:sz w:val="18"/>
          <w:szCs w:val="18"/>
          <w:color w:val="auto"/>
        </w:rPr>
      </w:pPr>
    </w:p>
    <w:p>
      <w:pPr>
        <w:ind w:left="660"/>
        <w:spacing w:after="0" w:line="238" w:lineRule="auto"/>
        <w:rPr>
          <w:rFonts w:ascii="Arial" w:cs="Arial" w:eastAsia="Arial" w:hAnsi="Arial"/>
          <w:sz w:val="18"/>
          <w:szCs w:val="18"/>
          <w:color w:val="auto"/>
        </w:rPr>
      </w:pPr>
      <w:r>
        <w:rPr>
          <w:rFonts w:ascii="Arial" w:cs="Arial" w:eastAsia="Arial" w:hAnsi="Arial"/>
          <w:sz w:val="18"/>
          <w:szCs w:val="18"/>
          <w:color w:val="auto"/>
        </w:rPr>
        <w:t>Consumer electronics recycling has a relatively low-frequency. On the supply side, we believe the most efficient conversion scenario is when consumers trade-in their old devices for new items. We empower tens of thousands of device retailers by enabling them to offer trade-in solutions to their consumers, which in turn generates a consistent flow of electronic devices for our platform. For our partners, including e-commerce platforms such as JD.com, and well-known smartphone brands, we provide recycle and trade-in services to their consumers.</w:t>
      </w:r>
    </w:p>
    <w:p>
      <w:pPr>
        <w:spacing w:after="0" w:line="202" w:lineRule="exact"/>
        <w:rPr>
          <w:rFonts w:ascii="Arial" w:cs="Arial" w:eastAsia="Arial" w:hAnsi="Arial"/>
          <w:sz w:val="18"/>
          <w:szCs w:val="18"/>
          <w:color w:val="auto"/>
        </w:rPr>
      </w:pPr>
    </w:p>
    <w:p>
      <w:pPr>
        <w:ind w:left="660" w:right="60"/>
        <w:spacing w:after="0" w:line="238" w:lineRule="auto"/>
        <w:rPr>
          <w:rFonts w:ascii="Arial" w:cs="Arial" w:eastAsia="Arial" w:hAnsi="Arial"/>
          <w:sz w:val="18"/>
          <w:szCs w:val="18"/>
          <w:color w:val="auto"/>
        </w:rPr>
      </w:pPr>
      <w:r>
        <w:rPr>
          <w:rFonts w:ascii="Arial" w:cs="Arial" w:eastAsia="Arial" w:hAnsi="Arial"/>
          <w:sz w:val="18"/>
          <w:szCs w:val="18"/>
          <w:color w:val="auto"/>
        </w:rPr>
        <w:t>On the demand side, we open up our core capabilities to empower e-commerce platforms as well as content community and social platforms with supply of quality products. We support their sales process, quality control and after-sales services. In turn, we obtain high-quality traffic and orders. The large and targeted traffic from JD.com and the coverage of target consumers on Kuaishou in lower-tier cities support the rapid growth of our B2C retail business.</w:t>
      </w:r>
    </w:p>
    <w:p>
      <w:pPr>
        <w:spacing w:after="0" w:line="331" w:lineRule="exact"/>
        <w:rPr>
          <w:rFonts w:ascii="Arial" w:cs="Arial" w:eastAsia="Arial" w:hAnsi="Arial"/>
          <w:sz w:val="18"/>
          <w:szCs w:val="18"/>
          <w:color w:val="auto"/>
        </w:rPr>
      </w:pPr>
    </w:p>
    <w:p>
      <w:pPr>
        <w:ind w:left="660" w:hanging="544"/>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Principle #3: technology-driven</w:t>
      </w:r>
    </w:p>
    <w:p>
      <w:pPr>
        <w:spacing w:after="0" w:line="139" w:lineRule="exact"/>
        <w:rPr>
          <w:rFonts w:ascii="Arial" w:cs="Arial" w:eastAsia="Arial" w:hAnsi="Arial"/>
          <w:sz w:val="18"/>
          <w:szCs w:val="18"/>
          <w:color w:val="auto"/>
        </w:rPr>
      </w:pPr>
    </w:p>
    <w:p>
      <w:pPr>
        <w:ind w:left="660"/>
        <w:spacing w:after="0" w:line="238" w:lineRule="auto"/>
        <w:rPr>
          <w:rFonts w:ascii="Arial" w:cs="Arial" w:eastAsia="Arial" w:hAnsi="Arial"/>
          <w:sz w:val="18"/>
          <w:szCs w:val="18"/>
          <w:color w:val="auto"/>
        </w:rPr>
      </w:pPr>
      <w:r>
        <w:rPr>
          <w:rFonts w:ascii="Arial" w:cs="Arial" w:eastAsia="Arial" w:hAnsi="Arial"/>
          <w:sz w:val="18"/>
          <w:szCs w:val="18"/>
          <w:color w:val="auto"/>
        </w:rPr>
        <w:t>We implement an operational strategy based on “tech and data driven” decision making process, as demonstrated by our continued investment in technologies, data and automatic inspection. We have an intelligent pricing system based on transaction data, and we continue to improve the operational metrics backed by big data analysis. In addition, we have established a large-scale automated operation center.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evolution: from a single offering start-up to an end-to-end platform</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take our entrepreneurial journey as mountain climbing. One has to go through the ups and downs and the mist to reach the</w:t>
      </w:r>
    </w:p>
    <w:p>
      <w:pPr>
        <w:ind w:left="120"/>
        <w:spacing w:after="0"/>
        <w:rPr>
          <w:sz w:val="20"/>
          <w:szCs w:val="20"/>
          <w:color w:val="auto"/>
        </w:rPr>
      </w:pPr>
      <w:r>
        <w:rPr>
          <w:rFonts w:ascii="Arial" w:cs="Arial" w:eastAsia="Arial" w:hAnsi="Arial"/>
          <w:sz w:val="18"/>
          <w:szCs w:val="18"/>
          <w:color w:val="auto"/>
        </w:rPr>
        <w:t>peak.</w:t>
      </w:r>
    </w:p>
    <w:p>
      <w:pPr>
        <w:spacing w:after="0" w:line="21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Our journey has been a decade of continuous innovation. We began our business in 2011 under a single brand, AHS Recycle, and have since become the leading innovator in the industry through our</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unique business model and technology. In late 2017, we launched PJT Marketplace to evolve from a single trade-in service provider to an open platform transaction enabler. In 2019, we completed a “C2B + B2B + B2C” closed-loop value chain by acquiring Paipai Marketplace from JD Group. In 2020, we became fully integrated, combining three originally independent business lines under one brand name – “ATRenew”.</w:t>
      </w:r>
    </w:p>
    <w:p>
      <w:pPr>
        <w:spacing w:after="0" w:line="205"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As our three business lines, AHS Recycle, PJT Marketplace and Paipai Marketplace, continue to integrate and synergize, the flywheel of sourcing supply and facilitating demand grows stronger to power our future growth and deepen our moat.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outlook: the future of our company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corporate culture balances stability and innovation, focusing on both the present and the future.</w:t>
      </w:r>
    </w:p>
    <w:p>
      <w:pPr>
        <w:spacing w:after="0" w:line="212"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For next three to five years, we adhere to two strategic priorities: firstly, we aim to pursue rapid business growth by enhancing our integrated platform capabilities. Secondly, we will continue to innovate and seize new opportunities.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long-term:</w:t>
      </w:r>
    </w:p>
    <w:p>
      <w:pPr>
        <w:spacing w:after="0" w:line="117" w:lineRule="exact"/>
        <w:rPr>
          <w:sz w:val="20"/>
          <w:szCs w:val="20"/>
          <w:color w:val="auto"/>
        </w:rPr>
      </w:pPr>
    </w:p>
    <w:p>
      <w:pPr>
        <w:ind w:left="880" w:right="400" w:hanging="224"/>
        <w:spacing w:after="0" w:line="246"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aim to strengthen our leadership in the pre-owned consumer electronics industry in China, contributing to the increasing recycling penetration rate and industry upgrades.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aim to build a global transaction platform, allowing pre-owned consumer electronics to circulate globally with less friction.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aim to make the world a better place by reducing electronic waste and prolonging the lifecycle of consumer electronics.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Partnership with our shareholders: creating long-term value and contributing to the society</w:t>
      </w:r>
    </w:p>
    <w:p>
      <w:pPr>
        <w:spacing w:after="0" w:line="126" w:lineRule="exact"/>
        <w:rPr>
          <w:sz w:val="20"/>
          <w:szCs w:val="20"/>
          <w:color w:val="auto"/>
        </w:rPr>
      </w:pPr>
    </w:p>
    <w:p>
      <w:pPr>
        <w:jc w:val="both"/>
        <w:ind w:left="120" w:right="40" w:firstLine="551"/>
        <w:spacing w:after="0" w:line="274" w:lineRule="auto"/>
        <w:rPr>
          <w:sz w:val="20"/>
          <w:szCs w:val="20"/>
          <w:color w:val="auto"/>
        </w:rPr>
      </w:pPr>
      <w:r>
        <w:rPr>
          <w:rFonts w:ascii="Arial" w:cs="Arial" w:eastAsia="Arial" w:hAnsi="Arial"/>
          <w:sz w:val="17"/>
          <w:szCs w:val="17"/>
          <w:color w:val="auto"/>
        </w:rPr>
        <w:t>What makes a good business? Previously, I thought scale was crucial. However, the past decade has taught me that a healthy and sustainable business is a good business, and a business that does social good beyond generating shareholder return is a good business.</w:t>
      </w:r>
    </w:p>
    <w:p>
      <w:pPr>
        <w:spacing w:after="0" w:line="17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committed to promoting and facilitating the circulation of pre-owned consumer electronics globally, giving a second life to all idle goods. We believe that the value of a business lies in solving social problems and creating social value. The greater the social value a business creates, the greater the economic value the business may have. If you share similar values and believe in long-term value creation both economically and socially, join us at ATRenew as we build a better world.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reading this letter. We look forward to partnering with you in the exciting journey ahead.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Kerry Xuefeng Chen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and CEO</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300" w:type="dxa"/>
            <w:vAlign w:val="bottom"/>
            <w:gridSpan w:val="2"/>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300" w:type="dxa"/>
            <w:vAlign w:val="bottom"/>
            <w:gridSpan w:val="2"/>
          </w:tcPr>
          <w:p>
            <w:pPr>
              <w:jc w:val="center"/>
              <w:ind w:right="3800"/>
              <w:spacing w:after="0"/>
              <w:rPr>
                <w:sz w:val="20"/>
                <w:szCs w:val="20"/>
                <w:color w:val="auto"/>
              </w:rPr>
            </w:pPr>
            <w:r>
              <w:rPr>
                <w:rFonts w:ascii="Arial" w:cs="Arial" w:eastAsia="Arial" w:hAnsi="Arial"/>
                <w:sz w:val="18"/>
                <w:szCs w:val="18"/>
                <w:b w:val="1"/>
                <w:bCs w:val="1"/>
                <w:color w:val="auto"/>
                <w:w w:val="99"/>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720" w:type="dxa"/>
            <w:vAlign w:val="bottom"/>
            <w:gridSpan w:val="9"/>
            <w:vMerge w:val="restart"/>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Prospectus Summary</w:t>
              </w:r>
            </w:hyperlink>
          </w:p>
        </w:tc>
        <w:tc>
          <w:tcPr>
            <w:tcW w:w="8840" w:type="dxa"/>
            <w:vAlign w:val="bottom"/>
            <w:gridSpan w:val="14"/>
            <w:vMerge w:val="restart"/>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1720" w:type="dxa"/>
            <w:vAlign w:val="bottom"/>
            <w:tcBorders>
              <w:bottom w:val="single" w:sz="8" w:color="0000EE"/>
            </w:tcBorders>
            <w:gridSpan w:val="9"/>
            <w:vMerge w:val="continue"/>
          </w:tcPr>
          <w:p>
            <w:pPr>
              <w:spacing w:after="0"/>
              <w:rPr>
                <w:sz w:val="14"/>
                <w:szCs w:val="14"/>
                <w:color w:val="auto"/>
              </w:rPr>
            </w:pPr>
          </w:p>
        </w:tc>
        <w:tc>
          <w:tcPr>
            <w:tcW w:w="8840" w:type="dxa"/>
            <w:vAlign w:val="bottom"/>
            <w:gridSpan w:val="14"/>
            <w:vMerge w:val="continue"/>
          </w:tcPr>
          <w:p>
            <w:pPr>
              <w:spacing w:after="0"/>
              <w:rPr>
                <w:sz w:val="14"/>
                <w:szCs w:val="14"/>
                <w:color w:val="auto"/>
              </w:rPr>
            </w:pPr>
          </w:p>
        </w:tc>
        <w:tc>
          <w:tcPr>
            <w:tcW w:w="3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00" w:type="dxa"/>
            <w:vAlign w:val="bottom"/>
            <w:tcBorders>
              <w:bottom w:val="single" w:sz="8" w:color="0000EE"/>
            </w:tcBorders>
            <w:gridSpan w:val="5"/>
          </w:tcPr>
          <w:p>
            <w:pPr>
              <w:spacing w:after="0" w:line="182"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Risk Factors</w:t>
              </w:r>
            </w:hyperlink>
          </w:p>
        </w:tc>
        <w:tc>
          <w:tcPr>
            <w:tcW w:w="9560" w:type="dxa"/>
            <w:vAlign w:val="bottom"/>
            <w:gridSpan w:val="18"/>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426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Special Note Regarding Forward-Looking Statements</w:t>
              </w:r>
            </w:hyperlink>
          </w:p>
        </w:tc>
        <w:tc>
          <w:tcPr>
            <w:tcW w:w="6300" w:type="dxa"/>
            <w:vAlign w:val="bottom"/>
            <w:gridSpan w:val="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83"/>
        </w:trPr>
        <w:tc>
          <w:tcPr>
            <w:tcW w:w="10560" w:type="dxa"/>
            <w:vAlign w:val="bottom"/>
            <w:gridSpan w:val="23"/>
          </w:tcPr>
          <w:p>
            <w:pPr>
              <w:spacing w:after="0" w:line="182" w:lineRule="exact"/>
              <w:rPr>
                <w:rFonts w:ascii="Arial" w:cs="Arial" w:eastAsia="Arial" w:hAnsi="Arial"/>
                <w:sz w:val="18"/>
                <w:szCs w:val="18"/>
                <w:color w:val="0000EE"/>
              </w:rPr>
            </w:pPr>
            <w:hyperlink w:anchor="page101">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3"/>
        </w:trPr>
        <w:tc>
          <w:tcPr>
            <w:tcW w:w="132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Dividend Policy</w:t>
              </w:r>
            </w:hyperlink>
          </w:p>
        </w:tc>
        <w:tc>
          <w:tcPr>
            <w:tcW w:w="9240" w:type="dxa"/>
            <w:vAlign w:val="bottom"/>
            <w:gridSpan w:val="1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103">
              <w:r>
                <w:rPr>
                  <w:rFonts w:ascii="Arial" w:cs="Arial" w:eastAsia="Arial" w:hAnsi="Arial"/>
                  <w:sz w:val="18"/>
                  <w:szCs w:val="18"/>
                  <w:color w:val="0000EE"/>
                  <w:w w:val="98"/>
                </w:rPr>
                <w:t>Capitalization</w:t>
              </w:r>
            </w:hyperlink>
          </w:p>
        </w:tc>
        <w:tc>
          <w:tcPr>
            <w:tcW w:w="140" w:type="dxa"/>
            <w:vAlign w:val="bottom"/>
            <w:tcBorders>
              <w:top w:val="single" w:sz="8" w:color="0000EE"/>
            </w:tcBorders>
          </w:tcPr>
          <w:p>
            <w:pPr>
              <w:spacing w:after="0"/>
              <w:rPr>
                <w:sz w:val="15"/>
                <w:szCs w:val="15"/>
                <w:color w:val="auto"/>
              </w:rPr>
            </w:pPr>
          </w:p>
        </w:tc>
        <w:tc>
          <w:tcPr>
            <w:tcW w:w="9340" w:type="dxa"/>
            <w:vAlign w:val="bottom"/>
            <w:gridSpan w:val="1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105">
              <w:r>
                <w:rPr>
                  <w:rFonts w:ascii="Arial" w:cs="Arial" w:eastAsia="Arial" w:hAnsi="Arial"/>
                  <w:sz w:val="18"/>
                  <w:szCs w:val="18"/>
                  <w:color w:val="0000EE"/>
                  <w:w w:val="96"/>
                </w:rPr>
                <w:t>Dilution</w:t>
              </w:r>
            </w:hyperlink>
          </w:p>
        </w:tc>
        <w:tc>
          <w:tcPr>
            <w:tcW w:w="9960" w:type="dxa"/>
            <w:vAlign w:val="bottom"/>
            <w:gridSpan w:val="2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246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Enforceability of Civil Liabilities</w:t>
              </w:r>
            </w:hyperlink>
          </w:p>
        </w:tc>
        <w:tc>
          <w:tcPr>
            <w:tcW w:w="8100" w:type="dxa"/>
            <w:vAlign w:val="bottom"/>
            <w:gridSpan w:val="9"/>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09">
              <w:r>
                <w:rPr>
                  <w:rFonts w:ascii="Arial" w:cs="Arial" w:eastAsia="Arial" w:hAnsi="Arial"/>
                  <w:sz w:val="18"/>
                  <w:szCs w:val="18"/>
                  <w:color w:val="0000EE"/>
                  <w:w w:val="99"/>
                </w:rPr>
                <w:t>Corporate History and Structure</w:t>
              </w:r>
            </w:hyperlink>
          </w:p>
        </w:tc>
        <w:tc>
          <w:tcPr>
            <w:tcW w:w="8020" w:type="dxa"/>
            <w:vAlign w:val="bottom"/>
            <w:gridSpan w:val="8"/>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15">
              <w:r>
                <w:rPr>
                  <w:rFonts w:ascii="Arial" w:cs="Arial" w:eastAsia="Arial" w:hAnsi="Arial"/>
                  <w:sz w:val="18"/>
                  <w:szCs w:val="18"/>
                  <w:color w:val="0000EE"/>
                  <w:w w:val="99"/>
                </w:rPr>
                <w:t>Selected Consolidated Financial Data</w:t>
              </w:r>
            </w:hyperlink>
          </w:p>
        </w:tc>
        <w:tc>
          <w:tcPr>
            <w:tcW w:w="756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3"/>
        </w:trPr>
        <w:tc>
          <w:tcPr>
            <w:tcW w:w="708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118">
              <w:r>
                <w:rPr>
                  <w:rFonts w:ascii="Arial" w:cs="Arial" w:eastAsia="Arial" w:hAnsi="Arial"/>
                  <w:sz w:val="18"/>
                  <w:szCs w:val="18"/>
                  <w:color w:val="0000EE"/>
                  <w:w w:val="99"/>
                </w:rPr>
                <w:t>Management’s Discussion and Analysis of Financial Condition and Results of Operations</w:t>
              </w:r>
            </w:hyperlink>
          </w:p>
        </w:tc>
        <w:tc>
          <w:tcPr>
            <w:tcW w:w="348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83"/>
        </w:trPr>
        <w:tc>
          <w:tcPr>
            <w:tcW w:w="64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148">
              <w:r>
                <w:rPr>
                  <w:rFonts w:ascii="Arial" w:cs="Arial" w:eastAsia="Arial" w:hAnsi="Arial"/>
                  <w:sz w:val="18"/>
                  <w:szCs w:val="18"/>
                  <w:color w:val="0000EE"/>
                  <w:w w:val="96"/>
                </w:rPr>
                <w:t>Industry</w:t>
              </w:r>
            </w:hyperlink>
          </w:p>
        </w:tc>
        <w:tc>
          <w:tcPr>
            <w:tcW w:w="9920" w:type="dxa"/>
            <w:vAlign w:val="bottom"/>
            <w:gridSpan w:val="21"/>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83"/>
        </w:trPr>
        <w:tc>
          <w:tcPr>
            <w:tcW w:w="10560" w:type="dxa"/>
            <w:vAlign w:val="bottom"/>
            <w:gridSpan w:val="23"/>
          </w:tcPr>
          <w:p>
            <w:pPr>
              <w:spacing w:after="0" w:line="182" w:lineRule="exact"/>
              <w:rPr>
                <w:rFonts w:ascii="Arial" w:cs="Arial" w:eastAsia="Arial" w:hAnsi="Arial"/>
                <w:sz w:val="18"/>
                <w:szCs w:val="18"/>
                <w:color w:val="0000EE"/>
              </w:rPr>
            </w:pPr>
            <w:hyperlink w:anchor="page155">
              <w:r>
                <w:rPr>
                  <w:rFonts w:ascii="Arial" w:cs="Arial" w:eastAsia="Arial" w:hAnsi="Arial"/>
                  <w:sz w:val="18"/>
                  <w:szCs w:val="18"/>
                  <w:color w:val="0000EE"/>
                </w:rPr>
                <w:t>Business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4"/>
          </w:tcPr>
          <w:p>
            <w:pPr>
              <w:spacing w:after="0" w:line="182" w:lineRule="exact"/>
              <w:rPr>
                <w:rFonts w:ascii="Arial" w:cs="Arial" w:eastAsia="Arial" w:hAnsi="Arial"/>
                <w:sz w:val="18"/>
                <w:szCs w:val="18"/>
                <w:color w:val="0000EE"/>
                <w:w w:val="97"/>
              </w:rPr>
            </w:pPr>
            <w:hyperlink w:anchor="page183">
              <w:r>
                <w:rPr>
                  <w:rFonts w:ascii="Arial" w:cs="Arial" w:eastAsia="Arial" w:hAnsi="Arial"/>
                  <w:sz w:val="18"/>
                  <w:szCs w:val="18"/>
                  <w:color w:val="0000EE"/>
                  <w:w w:val="97"/>
                </w:rPr>
                <w:t>Regulation</w:t>
              </w:r>
            </w:hyperlink>
          </w:p>
        </w:tc>
        <w:tc>
          <w:tcPr>
            <w:tcW w:w="9700" w:type="dxa"/>
            <w:vAlign w:val="bottom"/>
            <w:gridSpan w:val="19"/>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83"/>
        </w:trPr>
        <w:tc>
          <w:tcPr>
            <w:tcW w:w="10560" w:type="dxa"/>
            <w:vAlign w:val="bottom"/>
            <w:gridSpan w:val="23"/>
          </w:tcPr>
          <w:p>
            <w:pPr>
              <w:spacing w:after="0" w:line="182" w:lineRule="exact"/>
              <w:rPr>
                <w:rFonts w:ascii="Arial" w:cs="Arial" w:eastAsia="Arial" w:hAnsi="Arial"/>
                <w:sz w:val="18"/>
                <w:szCs w:val="18"/>
                <w:color w:val="0000EE"/>
              </w:rPr>
            </w:pPr>
            <w:hyperlink w:anchor="page203">
              <w:r>
                <w:rPr>
                  <w:rFonts w:ascii="Arial" w:cs="Arial" w:eastAsia="Arial" w:hAnsi="Arial"/>
                  <w:sz w:val="18"/>
                  <w:szCs w:val="18"/>
                  <w:color w:val="0000EE"/>
                </w:rPr>
                <w:t>Management</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60" w:type="dxa"/>
            <w:vAlign w:val="bottom"/>
            <w:gridSpan w:val="23"/>
          </w:tcPr>
          <w:p>
            <w:pPr>
              <w:spacing w:after="0" w:line="182" w:lineRule="exact"/>
              <w:rPr>
                <w:rFonts w:ascii="Arial" w:cs="Arial" w:eastAsia="Arial" w:hAnsi="Arial"/>
                <w:sz w:val="18"/>
                <w:szCs w:val="18"/>
                <w:color w:val="0000EE"/>
              </w:rPr>
            </w:pPr>
            <w:hyperlink w:anchor="page212">
              <w:r>
                <w:rPr>
                  <w:rFonts w:ascii="Arial" w:cs="Arial" w:eastAsia="Arial" w:hAnsi="Arial"/>
                  <w:sz w:val="18"/>
                  <w:szCs w:val="18"/>
                  <w:color w:val="0000EE"/>
                </w:rPr>
                <w:t>Principal Shareholders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215">
              <w:r>
                <w:rPr>
                  <w:rFonts w:ascii="Arial" w:cs="Arial" w:eastAsia="Arial" w:hAnsi="Arial"/>
                  <w:sz w:val="18"/>
                  <w:szCs w:val="18"/>
                  <w:color w:val="0000EE"/>
                  <w:w w:val="98"/>
                </w:rPr>
                <w:t>Related Party Transactions</w:t>
              </w:r>
            </w:hyperlink>
          </w:p>
        </w:tc>
        <w:tc>
          <w:tcPr>
            <w:tcW w:w="8400" w:type="dxa"/>
            <w:vAlign w:val="bottom"/>
            <w:gridSpan w:val="12"/>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83"/>
        </w:trPr>
        <w:tc>
          <w:tcPr>
            <w:tcW w:w="22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218">
              <w:r>
                <w:rPr>
                  <w:rFonts w:ascii="Arial" w:cs="Arial" w:eastAsia="Arial" w:hAnsi="Arial"/>
                  <w:sz w:val="18"/>
                  <w:szCs w:val="18"/>
                  <w:color w:val="0000EE"/>
                  <w:w w:val="99"/>
                </w:rPr>
                <w:t>Description of Share Capital</w:t>
              </w:r>
            </w:hyperlink>
          </w:p>
        </w:tc>
        <w:tc>
          <w:tcPr>
            <w:tcW w:w="8320" w:type="dxa"/>
            <w:vAlign w:val="bottom"/>
            <w:gridSpan w:val="11"/>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83"/>
        </w:trPr>
        <w:tc>
          <w:tcPr>
            <w:tcW w:w="34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235">
              <w:r>
                <w:rPr>
                  <w:rFonts w:ascii="Arial" w:cs="Arial" w:eastAsia="Arial" w:hAnsi="Arial"/>
                  <w:sz w:val="18"/>
                  <w:szCs w:val="18"/>
                  <w:color w:val="0000EE"/>
                  <w:w w:val="99"/>
                </w:rPr>
                <w:t>Description of American Depositary Shares</w:t>
              </w:r>
            </w:hyperlink>
          </w:p>
        </w:tc>
        <w:tc>
          <w:tcPr>
            <w:tcW w:w="7120" w:type="dxa"/>
            <w:vAlign w:val="bottom"/>
            <w:gridSpan w:val="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48">
              <w:r>
                <w:rPr>
                  <w:rFonts w:ascii="Arial" w:cs="Arial" w:eastAsia="Arial" w:hAnsi="Arial"/>
                  <w:sz w:val="18"/>
                  <w:szCs w:val="18"/>
                  <w:color w:val="0000EE"/>
                  <w:w w:val="99"/>
                </w:rPr>
                <w:t>Shares Eligible for Future Sale</w:t>
              </w:r>
            </w:hyperlink>
          </w:p>
        </w:tc>
        <w:tc>
          <w:tcPr>
            <w:tcW w:w="8120" w:type="dxa"/>
            <w:vAlign w:val="bottom"/>
            <w:gridSpan w:val="10"/>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83"/>
        </w:trPr>
        <w:tc>
          <w:tcPr>
            <w:tcW w:w="10560" w:type="dxa"/>
            <w:vAlign w:val="bottom"/>
            <w:gridSpan w:val="23"/>
          </w:tcPr>
          <w:p>
            <w:pPr>
              <w:spacing w:after="0" w:line="182" w:lineRule="exact"/>
              <w:rPr>
                <w:rFonts w:ascii="Arial" w:cs="Arial" w:eastAsia="Arial" w:hAnsi="Arial"/>
                <w:sz w:val="18"/>
                <w:szCs w:val="18"/>
                <w:color w:val="0000EE"/>
              </w:rPr>
            </w:pPr>
            <w:hyperlink w:anchor="page250">
              <w:r>
                <w:rPr>
                  <w:rFonts w:ascii="Arial" w:cs="Arial" w:eastAsia="Arial" w:hAnsi="Arial"/>
                  <w:sz w:val="18"/>
                  <w:szCs w:val="18"/>
                  <w:color w:val="0000EE"/>
                </w:rPr>
                <w:t>Taxation</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60" w:type="dxa"/>
            <w:vAlign w:val="bottom"/>
            <w:gridSpan w:val="23"/>
          </w:tcPr>
          <w:p>
            <w:pPr>
              <w:spacing w:after="0" w:line="182" w:lineRule="exact"/>
              <w:rPr>
                <w:rFonts w:ascii="Arial" w:cs="Arial" w:eastAsia="Arial" w:hAnsi="Arial"/>
                <w:sz w:val="18"/>
                <w:szCs w:val="18"/>
                <w:color w:val="0000EE"/>
              </w:rPr>
            </w:pPr>
            <w:hyperlink w:anchor="page257">
              <w:r>
                <w:rPr>
                  <w:rFonts w:ascii="Arial" w:cs="Arial" w:eastAsia="Arial" w:hAnsi="Arial"/>
                  <w:sz w:val="18"/>
                  <w:szCs w:val="18"/>
                  <w:color w:val="0000EE"/>
                </w:rPr>
                <w:t>Underwriting</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269">
              <w:r>
                <w:rPr>
                  <w:rFonts w:ascii="Arial" w:cs="Arial" w:eastAsia="Arial" w:hAnsi="Arial"/>
                  <w:sz w:val="18"/>
                  <w:szCs w:val="18"/>
                  <w:color w:val="0000EE"/>
                  <w:w w:val="99"/>
                </w:rPr>
                <w:t>Expenses Related to this Offering</w:t>
              </w:r>
            </w:hyperlink>
          </w:p>
        </w:tc>
        <w:tc>
          <w:tcPr>
            <w:tcW w:w="7880" w:type="dxa"/>
            <w:vAlign w:val="bottom"/>
            <w:gridSpan w:val="7"/>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83"/>
        </w:trPr>
        <w:tc>
          <w:tcPr>
            <w:tcW w:w="10560" w:type="dxa"/>
            <w:vAlign w:val="bottom"/>
            <w:gridSpan w:val="23"/>
          </w:tcPr>
          <w:p>
            <w:pPr>
              <w:spacing w:after="0" w:line="182" w:lineRule="exact"/>
              <w:rPr>
                <w:rFonts w:ascii="Arial" w:cs="Arial" w:eastAsia="Arial" w:hAnsi="Arial"/>
                <w:sz w:val="18"/>
                <w:szCs w:val="18"/>
                <w:color w:val="0000EE"/>
              </w:rPr>
            </w:pPr>
            <w:hyperlink w:anchor="page270">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83"/>
        </w:trPr>
        <w:tc>
          <w:tcPr>
            <w:tcW w:w="10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271">
              <w:r>
                <w:rPr>
                  <w:rFonts w:ascii="Arial" w:cs="Arial" w:eastAsia="Arial" w:hAnsi="Arial"/>
                  <w:sz w:val="18"/>
                  <w:szCs w:val="18"/>
                  <w:color w:val="0000EE"/>
                </w:rPr>
                <w:t>Experts</w:t>
              </w:r>
            </w:hyperlink>
          </w:p>
        </w:tc>
        <w:tc>
          <w:tcPr>
            <w:tcW w:w="9480" w:type="dxa"/>
            <w:vAlign w:val="bottom"/>
            <w:gridSpan w:val="17"/>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860" w:type="dxa"/>
            <w:vAlign w:val="bottom"/>
            <w:gridSpan w:val="1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72">
              <w:r>
                <w:rPr>
                  <w:rFonts w:ascii="Arial" w:cs="Arial" w:eastAsia="Arial" w:hAnsi="Arial"/>
                  <w:sz w:val="18"/>
                  <w:szCs w:val="18"/>
                  <w:color w:val="0000EE"/>
                  <w:w w:val="99"/>
                </w:rPr>
                <w:t>Where You Can Find Additional Information</w:t>
              </w:r>
            </w:hyperlink>
          </w:p>
        </w:tc>
        <w:tc>
          <w:tcPr>
            <w:tcW w:w="7100" w:type="dxa"/>
            <w:vAlign w:val="bottom"/>
            <w:gridSpan w:val="4"/>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183"/>
        </w:trPr>
        <w:tc>
          <w:tcPr>
            <w:tcW w:w="10560" w:type="dxa"/>
            <w:vAlign w:val="bottom"/>
            <w:gridSpan w:val="23"/>
          </w:tcPr>
          <w:p>
            <w:pPr>
              <w:spacing w:after="0" w:line="182" w:lineRule="exact"/>
              <w:rPr>
                <w:rFonts w:ascii="Arial" w:cs="Arial" w:eastAsia="Arial" w:hAnsi="Arial"/>
                <w:sz w:val="18"/>
                <w:szCs w:val="18"/>
                <w:color w:val="0000EE"/>
              </w:rPr>
            </w:pPr>
            <w:hyperlink w:anchor="page273">
              <w:r>
                <w:rPr>
                  <w:rFonts w:ascii="Arial" w:cs="Arial" w:eastAsia="Arial" w:hAnsi="Arial"/>
                  <w:sz w:val="18"/>
                  <w:szCs w:val="18"/>
                  <w:color w:val="0000EE"/>
                </w:rPr>
                <w:t>Index to the Consolidated Financial Statements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take no responsibility for, and can provide no assurance as to the reliability of, any other information that others may give you. We are offering to sell, and seeking offers to buy the ADSs, only in jurisdictions where offers and sales are permitted. The information contained in this prospectus is accurate only as of the date of this prospectus, regardless of the time of delivery of this prospectus or any sale of the ADSs.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Neither we nor any of the underwriters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the prospectus or any filed free writing prospectus outside the United States.</w:t>
      </w:r>
    </w:p>
    <w:p>
      <w:pPr>
        <w:spacing w:after="0" w:line="180" w:lineRule="exact"/>
        <w:rPr>
          <w:sz w:val="20"/>
          <w:szCs w:val="20"/>
          <w:color w:val="auto"/>
        </w:rPr>
      </w:pPr>
    </w:p>
    <w:p>
      <w:pPr>
        <w:ind w:left="120" w:right="280" w:firstLine="551"/>
        <w:spacing w:after="0" w:line="253" w:lineRule="auto"/>
        <w:rPr>
          <w:sz w:val="20"/>
          <w:szCs w:val="20"/>
          <w:color w:val="auto"/>
        </w:rPr>
      </w:pPr>
      <w:r>
        <w:rPr>
          <w:rFonts w:ascii="Arial" w:cs="Arial" w:eastAsia="Arial" w:hAnsi="Arial"/>
          <w:sz w:val="18"/>
          <w:szCs w:val="18"/>
          <w:b w:val="1"/>
          <w:bCs w:val="1"/>
          <w:color w:val="auto"/>
        </w:rPr>
        <w:t>Until , 2021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right="40" w:firstLine="532"/>
        <w:spacing w:after="0" w:line="241" w:lineRule="auto"/>
        <w:rPr>
          <w:sz w:val="20"/>
          <w:szCs w:val="20"/>
          <w:color w:val="auto"/>
        </w:rPr>
      </w:pPr>
      <w:r>
        <w:rPr>
          <w:rFonts w:ascii="Arial" w:cs="Arial" w:eastAsia="Arial" w:hAnsi="Arial"/>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the ADSs discussed under “Risk Factors,” before deciding whether to invest in the ADSs. This prospectus contains information from an industry report commissioned by us and prepared by China Insights Industry Consultancy Limited, or CIC, an independent research firm, to provide information regarding our industry and our market position. We refer to this report as the CIC Report.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 give a second life to all idle goods.</w:t>
      </w:r>
    </w:p>
    <w:p>
      <w:pPr>
        <w:spacing w:after="0" w:line="212" w:lineRule="exact"/>
        <w:rPr>
          <w:sz w:val="20"/>
          <w:szCs w:val="20"/>
          <w:color w:val="auto"/>
        </w:rPr>
      </w:pPr>
    </w:p>
    <w:p>
      <w:pPr>
        <w:ind w:left="300" w:right="120" w:firstLine="532"/>
        <w:spacing w:after="0" w:line="238" w:lineRule="auto"/>
        <w:rPr>
          <w:sz w:val="20"/>
          <w:szCs w:val="20"/>
          <w:color w:val="auto"/>
        </w:rPr>
      </w:pPr>
      <w:r>
        <w:rPr>
          <w:rFonts w:ascii="Arial" w:cs="Arial" w:eastAsia="Arial" w:hAnsi="Arial"/>
          <w:sz w:val="18"/>
          <w:szCs w:val="18"/>
          <w:color w:val="auto"/>
        </w:rPr>
        <w:t>We founded our company with the belief that environmental problems can be addressed while achieving commercial success. Since inception, we have transformed the pre-owned consumer electronics industry in China by facilitating recycle and trade-in services and further grown the industry by connecting and empowering all participants in the ecosystem. We remain excited about pursuing our mission and will leverage our platform and technology to continue to standardize mass-market pre-owned consumer goods.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Vision</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 enable pre-owned consumer electronics transactions and services globally by leveraging technology.</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Who We Are</w:t>
      </w:r>
    </w:p>
    <w:p>
      <w:pPr>
        <w:spacing w:after="0" w:line="126" w:lineRule="exact"/>
        <w:rPr>
          <w:sz w:val="20"/>
          <w:szCs w:val="20"/>
          <w:color w:val="auto"/>
        </w:rPr>
      </w:pPr>
    </w:p>
    <w:p>
      <w:pPr>
        <w:ind w:left="300" w:right="60" w:firstLine="532"/>
        <w:spacing w:after="0" w:line="251" w:lineRule="auto"/>
        <w:rPr>
          <w:sz w:val="20"/>
          <w:szCs w:val="20"/>
          <w:color w:val="auto"/>
        </w:rPr>
      </w:pPr>
      <w:r>
        <w:rPr>
          <w:rFonts w:ascii="Arial" w:cs="Arial" w:eastAsia="Arial" w:hAnsi="Arial"/>
          <w:sz w:val="17"/>
          <w:szCs w:val="17"/>
          <w:color w:val="auto"/>
        </w:rPr>
        <w:t>We are the largest pre-owned consumer electronics transactions and services platform in China in terms of GMV for electronics and the number of devices transacted by merchants and consumers, with a market share of 6.6% and 8.7% in terms of GMV for electronics and number of devices transacted, respectively, in 2020, according to the CIC Report. Our GMV for electronics and number of devices transacted on our platform for the year ended December 31, 2020 were both greater than the next five largest platforms combined, according to the CIC Report. Total GMV transacted on our platform was RMB22.8 billion and the number of consumer products transacted on our platform was 26.1 million for the twelve months ended March 31, 2021, representing a year-over-year growth from the twelve months ended March 31, 2020 of 66.1% and 46.6%, respectively. Total GMV transacted on our platform was RMB6.2 billion and the number of consumer products transacted on our platform was 6.4 million for the three months ended March 31, 2021, representing year-over-year growth from the same period of 2020 of 106.7% and 68.4%, respectively.</w:t>
      </w:r>
    </w:p>
    <w:p>
      <w:pPr>
        <w:spacing w:after="0" w:line="199"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We have created the infrastructure for pre-owned consumer electronics transactions and services by digitalizing and standardizing the industry, with a strong focus on mobile phones. According to the CIC Report, we created the first inspection, grading and pricing processes that helped standardize the pre-owned consumer electronics industry. While core to our success is our ability to effectively source supply, our offerings today span the entire value chain for pre-owned consumer electronics. We were founded in 2011 as a consumer-oriented single service provider focused on efficiently sourcing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416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80"/>
        <w:spacing w:after="0" w:line="236" w:lineRule="auto"/>
        <w:rPr>
          <w:sz w:val="20"/>
          <w:szCs w:val="20"/>
          <w:color w:val="auto"/>
        </w:rPr>
      </w:pPr>
      <w:r>
        <w:rPr>
          <w:rFonts w:ascii="Arial" w:cs="Arial" w:eastAsia="Arial" w:hAnsi="Arial"/>
          <w:sz w:val="18"/>
          <w:szCs w:val="18"/>
          <w:color w:val="auto"/>
        </w:rPr>
        <w:t>electronic devices through Aihuishou Recycle, or AHS Recycle, China’s leading online and offline offering for recycle and trade-in services primarily for reuse. We have since evolved to an integrated transactions and services platform through the addition of Paijitang Marketplace, or PJT Marketplace, China’s leading B2B marketplace for trading electronic products and services, in late 2017. We further extended our capabilities to mass retail consumers through Paipai Marketplace, a retail marketplace for pre-owned products of certified quality which we acquired from JD Group in 2019. Starting from 2019, we have been increasing our international presence as well. With these offerings, we have reinvented how consumers, small merchants, consumer electronics brands, e-commerce platforms and retailers sell and purchase pre-owned consumer electronics. Over time, we hope to empower more participants, both in China and the rest of the world, to partake in the pre-owned electronics circulation ecosystem.</w:t>
      </w:r>
    </w:p>
    <w:p>
      <w:pPr>
        <w:spacing w:after="0" w:line="208" w:lineRule="exact"/>
        <w:rPr>
          <w:sz w:val="20"/>
          <w:szCs w:val="20"/>
          <w:color w:val="auto"/>
        </w:rPr>
      </w:pPr>
    </w:p>
    <w:p>
      <w:pPr>
        <w:ind w:left="300" w:firstLine="532"/>
        <w:spacing w:after="0" w:line="236" w:lineRule="auto"/>
        <w:rPr>
          <w:sz w:val="20"/>
          <w:szCs w:val="20"/>
          <w:color w:val="auto"/>
        </w:rPr>
      </w:pPr>
      <w:r>
        <w:rPr>
          <w:rFonts w:ascii="Arial" w:cs="Arial" w:eastAsia="Arial" w:hAnsi="Arial"/>
          <w:sz w:val="18"/>
          <w:szCs w:val="18"/>
          <w:color w:val="auto"/>
        </w:rPr>
        <w:t>Our platform digitally integrates every step of the value chain. We obtain supply of pre-owned consumer electronics, process devices for resale using proprietary inspection, grading, and pricing technologies in our operation centers, and distribute processed devices to a variety of purchasers. We transact with consumers and small merchants at both the supply and demand sides of the value chain, ensuring that a diversity of participants have access to our platform. Through end-to-end coverage of the value chain and supply and demand participation supported by our quality and pricing benchmarks, we believe we set the standard for the industry in China. Our platform is frequently used by consumers and small merchants throughout the country for quality ratings and listing prices of pre-owned products before transacting. We leverage an online and offline presence to extend the reach of our platform. As of March 31, 2021, we operated 755 offline stores throughout China, of which 753 were AHS stores and two were Paipai stores. In 2020 and the three months ended March 31, 2021, out of all consumer products transacted on our platform, 67.7% and 69.7% were mobile phones, respectively, while the remaining were other electronics such as laptops, tablets and digital cameras, luxury goods, household items and books.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 Opportunities in China for Creating a Pre-owned Consumer Electronics Infrastructure</w:t>
      </w:r>
    </w:p>
    <w:p>
      <w:pPr>
        <w:spacing w:after="0" w:line="126" w:lineRule="exact"/>
        <w:rPr>
          <w:sz w:val="20"/>
          <w:szCs w:val="20"/>
          <w:color w:val="auto"/>
        </w:rPr>
      </w:pPr>
    </w:p>
    <w:p>
      <w:pPr>
        <w:ind w:left="300" w:right="100" w:firstLine="532"/>
        <w:spacing w:after="0" w:line="236" w:lineRule="auto"/>
        <w:rPr>
          <w:sz w:val="20"/>
          <w:szCs w:val="20"/>
          <w:color w:val="auto"/>
        </w:rPr>
      </w:pPr>
      <w:r>
        <w:rPr>
          <w:rFonts w:ascii="Arial" w:cs="Arial" w:eastAsia="Arial" w:hAnsi="Arial"/>
          <w:sz w:val="18"/>
          <w:szCs w:val="18"/>
          <w:color w:val="auto"/>
        </w:rPr>
        <w:t>Without effective recycling standards and channels, consumer electronic devices are often discarded after a short life cycle. In China, annual new device shipment volume reached 538 million in 2020, according to the CIC Report. Discarded devices pollute the environment and have impacted people’s daily lives. Additionally, though some individuals desire pre-owned devices, there are few trusted channels to purchase high-quality and reliable pre-owned devices. We are the only sizable online pre-owned consumer electronics transactions and services platform that provides quality warranty services, according to the CIC Report. As for offline channels, small merchants are incapable of trading high-quality pre-owned devices consistently absent of the necessary inspection and pricing endorsement from reputable platforms. In addition, consumers themselves are unable to distinguish the difference in credibility among various merchants.</w:t>
      </w:r>
    </w:p>
    <w:p>
      <w:pPr>
        <w:spacing w:after="0" w:line="208" w:lineRule="exact"/>
        <w:rPr>
          <w:sz w:val="20"/>
          <w:szCs w:val="20"/>
          <w:color w:val="auto"/>
        </w:rPr>
      </w:pPr>
    </w:p>
    <w:p>
      <w:pPr>
        <w:ind w:left="300" w:right="220" w:firstLine="532"/>
        <w:spacing w:after="0" w:line="238" w:lineRule="auto"/>
        <w:rPr>
          <w:sz w:val="20"/>
          <w:szCs w:val="20"/>
          <w:color w:val="auto"/>
        </w:rPr>
      </w:pPr>
      <w:r>
        <w:rPr>
          <w:rFonts w:ascii="Arial" w:cs="Arial" w:eastAsia="Arial" w:hAnsi="Arial"/>
          <w:sz w:val="18"/>
          <w:szCs w:val="18"/>
          <w:color w:val="auto"/>
        </w:rPr>
        <w:t>We believe increasing the volume and speed of circulation of pre-owned consumer electronics is the solution to these problems. Our business emerged due to the inherent differences in the consumer electronics market between China and the rest of the world. We believe there is no better market in which to create the infrastructure for pre-owned devices than China given the following defining characteristics:</w:t>
      </w:r>
    </w:p>
    <w:p>
      <w:pPr>
        <w:spacing w:after="0" w:line="92" w:lineRule="exact"/>
        <w:rPr>
          <w:sz w:val="20"/>
          <w:szCs w:val="20"/>
          <w:color w:val="auto"/>
        </w:rPr>
      </w:pPr>
    </w:p>
    <w:p>
      <w:pPr>
        <w:ind w:left="1020" w:right="460" w:hanging="195"/>
        <w:spacing w:after="0" w:line="24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Largest consumer electronics market globally: </w:t>
      </w:r>
      <w:r>
        <w:rPr>
          <w:rFonts w:ascii="Arial" w:cs="Arial" w:eastAsia="Arial" w:hAnsi="Arial"/>
          <w:sz w:val="18"/>
          <w:szCs w:val="18"/>
          <w:color w:val="auto"/>
        </w:rPr>
        <w:t>According to the CIC Report, China has the world’s largest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electronic devices in circulation in 2020, greater than that in the United States and Europe combined. More devices and more frequent roll-out of new models lead to more frequent replacements and more pre-owned goods as a result. This creates a larger market opportunity for pre-owned consumer electronics.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016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3016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40" w:hanging="195"/>
        <w:spacing w:after="0" w:line="242"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More fragmented supply of pre-owned consumer electronics: </w:t>
      </w:r>
      <w:r>
        <w:rPr>
          <w:rFonts w:ascii="Arial" w:cs="Arial" w:eastAsia="Arial" w:hAnsi="Arial"/>
          <w:sz w:val="18"/>
          <w:szCs w:val="18"/>
          <w:color w:val="auto"/>
        </w:rPr>
        <w:t>According to the CIC Report, China has many more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electronics brands than the United States, with fewer dominant brands and a greater variety of product models. Sales channels are also more fragmented in China. Mobile phones are available for purchase at a diverse range of retailers ranging from branded stores to e-commerce platforms, offline mom-and-pop stores and small merchants. Fragmentation of supply creates the opportunity to aggregate access to pre-owned devices on a single platform.</w:t>
      </w:r>
    </w:p>
    <w:p>
      <w:pPr>
        <w:spacing w:after="0" w:line="90" w:lineRule="exact"/>
        <w:rPr>
          <w:rFonts w:ascii="Arial" w:cs="Arial" w:eastAsia="Arial" w:hAnsi="Arial"/>
          <w:sz w:val="18"/>
          <w:szCs w:val="18"/>
          <w:color w:val="auto"/>
        </w:rPr>
      </w:pPr>
    </w:p>
    <w:p>
      <w:pPr>
        <w:ind w:left="1020" w:right="60" w:hanging="195"/>
        <w:spacing w:after="0" w:line="24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More varied consumer purchase patterns: </w:t>
      </w:r>
      <w:r>
        <w:rPr>
          <w:rFonts w:ascii="Arial" w:cs="Arial" w:eastAsia="Arial" w:hAnsi="Arial"/>
          <w:sz w:val="18"/>
          <w:szCs w:val="18"/>
          <w:color w:val="auto"/>
        </w:rPr>
        <w:t>Consumers in the United States frequently acquire mobile phones from mobile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operators or large retailers bundled with service contracts. Trade-ins often happen when renewing those contracts, resulting in a centralized recycling network. Meanwhile, consumers in China typically acquire mobile phones without service contracts. The lack of trade-in at contract renewal decentralizes the recycling ecosystem and diversifies the supply of pre-owned devices in China. In this diverse retail environment, trade-ins are processed inefficiently and with limited scale. This opens an opportunity for an advanced platform to facilitate recycling and the sale of pre-owned devices.</w:t>
      </w:r>
    </w:p>
    <w:p>
      <w:pPr>
        <w:spacing w:after="0" w:line="89" w:lineRule="exact"/>
        <w:rPr>
          <w:rFonts w:ascii="Arial" w:cs="Arial" w:eastAsia="Arial" w:hAnsi="Arial"/>
          <w:sz w:val="18"/>
          <w:szCs w:val="18"/>
          <w:color w:val="auto"/>
        </w:rPr>
      </w:pPr>
    </w:p>
    <w:p>
      <w:pPr>
        <w:ind w:left="1020" w:hanging="195"/>
        <w:spacing w:after="0" w:line="25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Greater consumer demand for pre-owned goods: </w:t>
      </w:r>
      <w:r>
        <w:rPr>
          <w:rFonts w:ascii="Arial" w:cs="Arial" w:eastAsia="Arial" w:hAnsi="Arial"/>
          <w:sz w:val="17"/>
          <w:szCs w:val="17"/>
          <w:color w:val="auto"/>
        </w:rPr>
        <w:t>With a much lower disposable income per capita of US$4,983 in China</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US$52,997 in the United States in 2020, according to the CIC Report, demand for value-for-money pre-owned consumer electronic products is much stronger in China than in more developed economies. As a result, China’s economy has a greater degree of reuse and internal circulation compared to more developed economies, where procured pre-owned consumer electronics are typically exported overseas. Internal circulation of goods leads to the creation of a complex, multi-regional value-chain dedicated to recycling and transacting pre-owned goods throughout China. The existence of this largely offline and traditional value-chain creates the need for the standardization of pre-owned goods transactions and services.</w:t>
      </w:r>
    </w:p>
    <w:p>
      <w:pPr>
        <w:spacing w:after="0" w:line="192" w:lineRule="exact"/>
        <w:rPr>
          <w:sz w:val="20"/>
          <w:szCs w:val="20"/>
          <w:color w:val="auto"/>
        </w:rPr>
      </w:pPr>
    </w:p>
    <w:p>
      <w:pPr>
        <w:ind w:left="300" w:right="20" w:firstLine="532"/>
        <w:spacing w:after="0" w:line="237" w:lineRule="auto"/>
        <w:rPr>
          <w:sz w:val="20"/>
          <w:szCs w:val="20"/>
          <w:color w:val="auto"/>
        </w:rPr>
      </w:pPr>
      <w:r>
        <w:rPr>
          <w:rFonts w:ascii="Arial" w:cs="Arial" w:eastAsia="Arial" w:hAnsi="Arial"/>
          <w:sz w:val="18"/>
          <w:szCs w:val="18"/>
          <w:color w:val="auto"/>
        </w:rPr>
        <w:t>These characteristics have created tremendous and growing market opportunities in China to address pre-owned consumer electronics transactions and services. According to the CIC Report, 189 million pre-owned devices were transacted to merchants and individual buyers in 2020 with RMB252 billion in total GMV distributed to merchants and buyers. The defining characteristics of the industry will propel its rapid growth to 546 million pre-owned devices or RMB967 billion of total GMV by 2025, representing CAGRs of 24% and 31%, respectively. We believe we are uniquely positioned to capture this growing market opportunity due to the infrastructure we have created that digitalizes and standardizes the pre-owned consumer electronics industry.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Platform</w:t>
      </w:r>
    </w:p>
    <w:p>
      <w:pPr>
        <w:spacing w:after="0" w:line="126" w:lineRule="exact"/>
        <w:rPr>
          <w:sz w:val="20"/>
          <w:szCs w:val="20"/>
          <w:color w:val="auto"/>
        </w:rPr>
      </w:pPr>
    </w:p>
    <w:p>
      <w:pPr>
        <w:jc w:val="both"/>
        <w:ind w:left="300" w:right="300" w:firstLine="532"/>
        <w:spacing w:after="0"/>
        <w:rPr>
          <w:sz w:val="20"/>
          <w:szCs w:val="20"/>
          <w:color w:val="auto"/>
        </w:rPr>
      </w:pPr>
      <w:r>
        <w:rPr>
          <w:rFonts w:ascii="Arial" w:cs="Arial" w:eastAsia="Arial" w:hAnsi="Arial"/>
          <w:sz w:val="18"/>
          <w:szCs w:val="18"/>
          <w:color w:val="auto"/>
        </w:rPr>
        <w:t>We believe the key to capturing the tremendous opportunity in the pre -owned consumer electronics market in China is the creation of a new infrastructure defined by end-to-end coverage of the value chain and standardization of inspection, grading, and pricing.</w:t>
      </w:r>
    </w:p>
    <w:p>
      <w:pPr>
        <w:spacing w:after="0" w:line="90" w:lineRule="exact"/>
        <w:rPr>
          <w:sz w:val="20"/>
          <w:szCs w:val="20"/>
          <w:color w:val="auto"/>
        </w:rPr>
      </w:pPr>
    </w:p>
    <w:p>
      <w:pPr>
        <w:ind w:left="1020" w:right="60" w:hanging="195"/>
        <w:spacing w:after="0" w:line="24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Aggregated Diverse Supply</w:t>
      </w:r>
      <w:r>
        <w:rPr>
          <w:rFonts w:ascii="Arial" w:cs="Arial" w:eastAsia="Arial" w:hAnsi="Arial"/>
          <w:sz w:val="18"/>
          <w:szCs w:val="18"/>
          <w:color w:val="auto"/>
        </w:rPr>
        <w:t>: AHS Recycle, our omni-channel business and household brand for the collection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pre-owned consumer electronics, sources supply from consumers. Consumers can sell their pre-owned consumer electronics at any of our online portals or offline locations, or through our strategic partners, including JD.com and Kuaishou Technology, or Kuaishou. AHS Recycle is central to our strategy of obtaining supply, after which devices are processed in our operation centers and then resold primarily for reuse through our other offerings including PJT Marketplace and Paipai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552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3552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60" w:hanging="195"/>
        <w:spacing w:after="0" w:line="26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Efficient Demand Fulfillment: </w:t>
      </w:r>
      <w:r>
        <w:rPr>
          <w:rFonts w:ascii="Arial" w:cs="Arial" w:eastAsia="Arial" w:hAnsi="Arial"/>
          <w:sz w:val="18"/>
          <w:szCs w:val="18"/>
          <w:color w:val="auto"/>
        </w:rPr>
        <w:t>Given the success of AHS Recycle and our proven ability to obtain supply, we launched PJT</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and Paipai Marketplace to improve the circulation of pre-owned consumer electronics on our platform.</w:t>
      </w:r>
    </w:p>
    <w:p>
      <w:pPr>
        <w:spacing w:after="0" w:line="83" w:lineRule="exact"/>
        <w:rPr>
          <w:rFonts w:ascii="Arial" w:cs="Arial" w:eastAsia="Arial" w:hAnsi="Arial"/>
          <w:sz w:val="18"/>
          <w:szCs w:val="18"/>
          <w:color w:val="auto"/>
        </w:rPr>
      </w:pPr>
    </w:p>
    <w:p>
      <w:pPr>
        <w:ind w:left="1540" w:right="140" w:hanging="189"/>
        <w:spacing w:after="0" w:line="238"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PJT Marketplace, founded in late 2017, enables small merchants to acquire pre-owned consumer electronics and retailers, typically in the telecom and phone-retail industries, to bid-for, win, and purchase pre-owned consumer electronics. PJT Marketplace also leverages our proprietary inspection, grading and pricing capabilities and extends this recycling infrastructure to the broader industry which allows small merchants on the selling side to facilitate their own trade-in programs and pre-owned consumer electronics transactions.</w:t>
      </w:r>
    </w:p>
    <w:p>
      <w:pPr>
        <w:spacing w:after="0" w:line="107" w:lineRule="exact"/>
        <w:rPr>
          <w:rFonts w:ascii="Arial" w:cs="Arial" w:eastAsia="Arial" w:hAnsi="Arial"/>
          <w:sz w:val="18"/>
          <w:szCs w:val="18"/>
          <w:color w:val="auto"/>
        </w:rPr>
      </w:pPr>
    </w:p>
    <w:p>
      <w:pPr>
        <w:ind w:left="1540" w:right="120" w:hanging="189"/>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Paipai Marketplace, acquired in 2019 from JD Group, enables consumers to buy quality pre-owned consumer goods with ease and convenience. Over time, Paipai Marketplace has expanded to inspect and sell pre-owned goods in verticals outside of electronics, such as luxury goods, household items and books.</w:t>
      </w:r>
    </w:p>
    <w:p>
      <w:pPr>
        <w:spacing w:after="0" w:line="90" w:lineRule="exact"/>
        <w:rPr>
          <w:rFonts w:ascii="Arial" w:cs="Arial" w:eastAsia="Arial" w:hAnsi="Arial"/>
          <w:sz w:val="18"/>
          <w:szCs w:val="18"/>
          <w:color w:val="auto"/>
        </w:rPr>
      </w:pPr>
    </w:p>
    <w:p>
      <w:pPr>
        <w:ind w:left="1020" w:hanging="195"/>
        <w:spacing w:after="0" w:line="24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Standardized Inspection, Grading, and Pricing</w:t>
      </w:r>
      <w:r>
        <w:rPr>
          <w:rFonts w:ascii="Arial" w:cs="Arial" w:eastAsia="Arial" w:hAnsi="Arial"/>
          <w:sz w:val="18"/>
          <w:szCs w:val="18"/>
          <w:color w:val="auto"/>
        </w:rPr>
        <w:t>: As of March 31, 2021, we operated seven centralized operation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and 23 city-level operation stations equipped with proprietary data-driven processing technologies, including a fully automated center in Changzhou, China. Devices sourced from AHS Recycle and PJT Marketplace that are eventually resold on PJT Marketplace and Paipai Marketplace pass through these centers for inspection, grading and pricing. This standardized processing creates widely accepted benchmarks for quality and pricing in the industry.</w:t>
      </w:r>
    </w:p>
    <w:p>
      <w:pPr>
        <w:spacing w:after="0" w:line="90" w:lineRule="exact"/>
        <w:rPr>
          <w:rFonts w:ascii="Arial" w:cs="Arial" w:eastAsia="Arial" w:hAnsi="Arial"/>
          <w:sz w:val="18"/>
          <w:szCs w:val="18"/>
          <w:color w:val="auto"/>
        </w:rPr>
      </w:pPr>
    </w:p>
    <w:p>
      <w:pPr>
        <w:ind w:left="1020" w:hanging="195"/>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Complementary Services</w:t>
      </w:r>
      <w:r>
        <w:rPr>
          <w:rFonts w:ascii="Arial" w:cs="Arial" w:eastAsia="Arial" w:hAnsi="Arial"/>
          <w:sz w:val="18"/>
          <w:szCs w:val="18"/>
          <w:color w:val="auto"/>
        </w:rPr>
        <w:t>: We provide an increasing variety of services to ecosystem participants to make our platform a</w:t>
      </w:r>
      <w:r>
        <w:rPr>
          <w:rFonts w:ascii="Arial" w:cs="Arial" w:eastAsia="Arial" w:hAnsi="Arial"/>
          <w:sz w:val="18"/>
          <w:szCs w:val="18"/>
          <w:i w:val="1"/>
          <w:iCs w:val="1"/>
          <w:color w:val="auto"/>
        </w:rPr>
        <w:t xml:space="preserve"> </w:t>
      </w:r>
      <w:r>
        <w:rPr>
          <w:rFonts w:ascii="Arial" w:cs="Arial" w:eastAsia="Arial" w:hAnsi="Arial"/>
          <w:sz w:val="18"/>
          <w:szCs w:val="18"/>
          <w:color w:val="auto"/>
        </w:rPr>
        <w:t>one-stop destination for pre-owned consumer electronics. Consumers benefit from in-store value-added services at our AHS stores such as data migration and data erasing, introduction of third-party phone screen maintenance service, instant repair, power bank rental and accessories purchase. Small merchants also have access to modularized offerings on our platform, such as testing and certification through our operation centers, our auction and bidding infrastructure, enhanced fulfillment services and consignment sales. Additionally, our comprehensive trade-in solutions help support phone brands’ trade-in programs, by handling their backend collection of devices and improving their online and offline marketing capabilities, thereby increasing the number of new devices sold.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53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5532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The diagram below illustrates the major components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14"/>
          <w:szCs w:val="14"/>
          <w:i w:val="1"/>
          <w:iCs w:val="1"/>
          <w:color w:val="auto"/>
        </w:rPr>
        <w:t>Notes:</w:t>
      </w:r>
    </w:p>
    <w:p>
      <w:pPr>
        <w:spacing w:after="0" w:line="15" w:lineRule="exact"/>
        <w:rPr>
          <w:sz w:val="20"/>
          <w:szCs w:val="20"/>
          <w:color w:val="auto"/>
        </w:rPr>
      </w:pPr>
    </w:p>
    <w:p>
      <w:pPr>
        <w:ind w:left="720" w:hanging="422"/>
        <w:spacing w:after="0"/>
        <w:tabs>
          <w:tab w:leader="none" w:pos="7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As of March 31, 2021; (2) According to the CIC Report</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Value Propositions</w:t>
      </w:r>
    </w:p>
    <w:p>
      <w:pPr>
        <w:spacing w:after="0" w:line="126" w:lineRule="exact"/>
        <w:rPr>
          <w:sz w:val="20"/>
          <w:szCs w:val="20"/>
          <w:color w:val="auto"/>
        </w:rPr>
      </w:pPr>
    </w:p>
    <w:p>
      <w:pPr>
        <w:ind w:left="300" w:right="180" w:firstLine="532"/>
        <w:spacing w:after="0"/>
        <w:rPr>
          <w:sz w:val="20"/>
          <w:szCs w:val="20"/>
          <w:color w:val="auto"/>
        </w:rPr>
      </w:pPr>
      <w:r>
        <w:rPr>
          <w:rFonts w:ascii="Arial" w:cs="Arial" w:eastAsia="Arial" w:hAnsi="Arial"/>
          <w:sz w:val="18"/>
          <w:szCs w:val="18"/>
          <w:color w:val="auto"/>
        </w:rPr>
        <w:t>Our platform brings value to all participants in the consumer electronics ecosystem. By creating industry standards, we have made transactions and services for pre-owned consumer electronics more user-friendly, efficient, transparent, secure, and environmentally friendly and socially beneficial.</w:t>
      </w:r>
    </w:p>
    <w:p>
      <w:pPr>
        <w:spacing w:after="0" w:line="90" w:lineRule="exact"/>
        <w:rPr>
          <w:sz w:val="20"/>
          <w:szCs w:val="20"/>
          <w:color w:val="auto"/>
        </w:rPr>
      </w:pPr>
    </w:p>
    <w:p>
      <w:pPr>
        <w:ind w:left="1020" w:right="60" w:hanging="195"/>
        <w:spacing w:after="0" w:line="24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User-friendly</w:t>
      </w:r>
      <w:r>
        <w:rPr>
          <w:rFonts w:ascii="Arial" w:cs="Arial" w:eastAsia="Arial" w:hAnsi="Arial"/>
          <w:sz w:val="18"/>
          <w:szCs w:val="18"/>
          <w:color w:val="auto"/>
        </w:rPr>
        <w:t>. Our control of supply and demand channels for pre-owned consumer electronics both online and offline has</w:t>
      </w:r>
      <w:r>
        <w:rPr>
          <w:rFonts w:ascii="Arial" w:cs="Arial" w:eastAsia="Arial" w:hAnsi="Arial"/>
          <w:sz w:val="18"/>
          <w:szCs w:val="18"/>
          <w:i w:val="1"/>
          <w:iCs w:val="1"/>
          <w:color w:val="auto"/>
        </w:rPr>
        <w:t xml:space="preserve"> </w:t>
      </w:r>
      <w:r>
        <w:rPr>
          <w:rFonts w:ascii="Arial" w:cs="Arial" w:eastAsia="Arial" w:hAnsi="Arial"/>
          <w:sz w:val="18"/>
          <w:szCs w:val="18"/>
          <w:color w:val="auto"/>
        </w:rPr>
        <w:t>made it easier for participants to take part in the ecosystem. Those looking to sell devices can do so online through our website, mobile app, or key partnerships with e-commerce platforms such as JD.com and content community and social platforms such as Kuaishou, or offline at our 753 AHS stores and our over 1,500 self-service kiosks as of March 31, 2021. Those looking to purchase pre-owned devices can do so easily through PJT Marketplace or Paipai Marketplace. Our platform has become a go-to destination for those looking to sell or buy pre-owned devices.</w:t>
      </w:r>
    </w:p>
    <w:p>
      <w:pPr>
        <w:spacing w:after="0" w:line="89" w:lineRule="exact"/>
        <w:rPr>
          <w:rFonts w:ascii="Arial" w:cs="Arial" w:eastAsia="Arial" w:hAnsi="Arial"/>
          <w:sz w:val="18"/>
          <w:szCs w:val="18"/>
          <w:color w:val="auto"/>
        </w:rPr>
      </w:pPr>
    </w:p>
    <w:p>
      <w:pPr>
        <w:ind w:left="1020" w:hanging="195"/>
        <w:spacing w:after="0" w:line="24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Efficient</w:t>
      </w:r>
      <w:r>
        <w:rPr>
          <w:rFonts w:ascii="Arial" w:cs="Arial" w:eastAsia="Arial" w:hAnsi="Arial"/>
          <w:sz w:val="18"/>
          <w:szCs w:val="18"/>
          <w:color w:val="auto"/>
        </w:rPr>
        <w:t>. The digital nature and end-to-end coverage of our platform has reduced the number of intermediaries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required from trade-in to eventual purchase of a pre-owned device. Our ability to obtain supply, process devices, then resell devices quickly has made the turnaround time of devices much faster than industry average and improved the economics for device sellers and purchasers. Our processing time for inspection, grading and pricing for each device before shipping takes approximately three days, while that of competitors takes up to ten days or longer, according to the CIC Report.</w:t>
      </w:r>
    </w:p>
    <w:p>
      <w:pPr>
        <w:spacing w:after="0" w:line="89" w:lineRule="exact"/>
        <w:rPr>
          <w:rFonts w:ascii="Arial" w:cs="Arial" w:eastAsia="Arial" w:hAnsi="Arial"/>
          <w:sz w:val="18"/>
          <w:szCs w:val="18"/>
          <w:color w:val="auto"/>
        </w:rPr>
      </w:pPr>
    </w:p>
    <w:p>
      <w:pPr>
        <w:ind w:left="1020" w:right="220" w:hanging="195"/>
        <w:spacing w:after="0" w:line="24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Transparent</w:t>
      </w:r>
      <w:r>
        <w:rPr>
          <w:rFonts w:ascii="Arial" w:cs="Arial" w:eastAsia="Arial" w:hAnsi="Arial"/>
          <w:sz w:val="18"/>
          <w:szCs w:val="18"/>
          <w:color w:val="auto"/>
        </w:rPr>
        <w:t>. Participants in our ecosystem trust transacting pre-owned consumer electronic devices on our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consistent pricing based on our proprietary inspection and grading process and standardized metrics. Our nationwide footprint of AHS stores also helps build our brand recognition and provides users with a unique in-store experience, all of which make transacting on our platform easy, trustworthy and transparent.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32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75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40" w:hanging="195"/>
        <w:spacing w:after="0" w:line="264"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Secure</w:t>
      </w:r>
      <w:r>
        <w:rPr>
          <w:rFonts w:ascii="Arial" w:cs="Arial" w:eastAsia="Arial" w:hAnsi="Arial"/>
          <w:sz w:val="17"/>
          <w:szCs w:val="17"/>
          <w:color w:val="auto"/>
        </w:rPr>
        <w:t>. We take immense pride in our commitment to data privacy protection. We maintain a stringent data clearance</w:t>
      </w:r>
      <w:r>
        <w:rPr>
          <w:rFonts w:ascii="Arial" w:cs="Arial" w:eastAsia="Arial" w:hAnsi="Arial"/>
          <w:sz w:val="17"/>
          <w:szCs w:val="17"/>
          <w:i w:val="1"/>
          <w:iCs w:val="1"/>
          <w:color w:val="auto"/>
        </w:rPr>
        <w:t xml:space="preserve"> </w:t>
      </w:r>
      <w:r>
        <w:rPr>
          <w:rFonts w:ascii="Arial" w:cs="Arial" w:eastAsia="Arial" w:hAnsi="Arial"/>
          <w:sz w:val="17"/>
          <w:szCs w:val="17"/>
          <w:color w:val="auto"/>
        </w:rPr>
        <w:t>policy including mandatory data erasing before devices enter our operation centers and data erasing in front of our customers who transact in stores. We believe our focus on data privacy protection removes one of consumers’ key concerns with taking part in the pre-owned consumer electronics ecosystem, and will benefit the continual growth of our platform.</w:t>
      </w:r>
    </w:p>
    <w:p>
      <w:pPr>
        <w:spacing w:after="0" w:line="71" w:lineRule="exact"/>
        <w:rPr>
          <w:rFonts w:ascii="Arial" w:cs="Arial" w:eastAsia="Arial" w:hAnsi="Arial"/>
          <w:sz w:val="17"/>
          <w:szCs w:val="17"/>
          <w:color w:val="auto"/>
        </w:rPr>
      </w:pPr>
    </w:p>
    <w:p>
      <w:pPr>
        <w:ind w:left="1020" w:right="60" w:hanging="195"/>
        <w:spacing w:after="0" w:line="24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Environmentally Friendly and Socially Beneficial</w:t>
      </w:r>
      <w:r>
        <w:rPr>
          <w:rFonts w:ascii="Arial" w:cs="Arial" w:eastAsia="Arial" w:hAnsi="Arial"/>
          <w:sz w:val="18"/>
          <w:szCs w:val="18"/>
          <w:color w:val="auto"/>
        </w:rPr>
        <w:t>. Our platform reduces electronic waste by prolonging the life cycle of</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devices. We also foster the global circulation of certified pre-owned devices, particularly to international markets with strong demand for value-for-money products. We believe that the global circulation of certified pre-owned devices helps everyone in developing economies gain equal access to the benefits of technology such as mobile electronics.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Innovation and Technology</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Innovation and technology are at the core of our company and permeate every aspect of our operations.</w:t>
      </w:r>
    </w:p>
    <w:p>
      <w:pPr>
        <w:spacing w:after="0" w:line="212"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Our innovations in testing tools help us obtain supply and empower others to participate in the pre-owned consumer electronics transactions. Our self-service trade-in kiosks allow devices to be inspected and display a fair sale price within two minutes. We also have proprietary inspection terminals to help small merchants inspect the need for parts replacement, functionality, battery life, or many other key features quickly and accurately.</w:t>
      </w:r>
    </w:p>
    <w:p>
      <w:pPr>
        <w:spacing w:after="0" w:line="205"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Our operation centers are equipped with proprietary technology to assist the inspection, grading, and pricing of devices. Our AI and machine-learning driven algorithms leverage data from millions of transactions, thousands of device models, and millions of device sellers and buyers to refine our quality inspection, grading and pricing.</w:t>
      </w:r>
    </w:p>
    <w:p>
      <w:pPr>
        <w:spacing w:after="0" w:line="203" w:lineRule="exact"/>
        <w:rPr>
          <w:sz w:val="20"/>
          <w:szCs w:val="20"/>
          <w:color w:val="auto"/>
        </w:rPr>
      </w:pPr>
    </w:p>
    <w:p>
      <w:pPr>
        <w:ind w:left="300" w:right="220" w:firstLine="532"/>
        <w:spacing w:after="0" w:line="261" w:lineRule="auto"/>
        <w:rPr>
          <w:sz w:val="20"/>
          <w:szCs w:val="20"/>
          <w:color w:val="auto"/>
        </w:rPr>
      </w:pPr>
      <w:r>
        <w:rPr>
          <w:rFonts w:ascii="Arial" w:cs="Arial" w:eastAsia="Arial" w:hAnsi="Arial"/>
          <w:sz w:val="17"/>
          <w:szCs w:val="17"/>
          <w:color w:val="auto"/>
        </w:rPr>
        <w:t>Our technological strengths in big data analytics improve the day-to-day operations of our AHS stores as well. We apply intelligent store management systems to capture key in-store footprints which we analyze to standardize customer service offerings and manage risk of theft or malpractice. This operational know-how also helps us select sites for new AHS store openings.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Our Scale and Financial Performance</w:t>
      </w:r>
    </w:p>
    <w:p>
      <w:pPr>
        <w:spacing w:after="0" w:line="126" w:lineRule="exact"/>
        <w:rPr>
          <w:sz w:val="20"/>
          <w:szCs w:val="20"/>
          <w:color w:val="auto"/>
        </w:rPr>
      </w:pPr>
    </w:p>
    <w:p>
      <w:pPr>
        <w:ind w:left="300" w:right="100" w:firstLine="532"/>
        <w:spacing w:after="0" w:line="236" w:lineRule="auto"/>
        <w:rPr>
          <w:sz w:val="20"/>
          <w:szCs w:val="20"/>
          <w:color w:val="auto"/>
        </w:rPr>
      </w:pPr>
      <w:r>
        <w:rPr>
          <w:rFonts w:ascii="Arial" w:cs="Arial" w:eastAsia="Arial" w:hAnsi="Arial"/>
          <w:sz w:val="18"/>
          <w:szCs w:val="18"/>
          <w:color w:val="auto"/>
        </w:rPr>
        <w:t>We have experienced substantial growth since our inception in 2011. We operate an inventory-led e-commerce platform that generates product revenue from the sale of pre-owned goods, primarily pre-owned consumer electronics as well as e-commerce marketplaces that generate services revenue from third-party sales of devices over our platform. In 2020, we had approximately 23.6 million consumer products transacted, which represented an increase of 48.4% from 15.9 million of consumer products transacted in 2019. In the three months ended March 31, 2021, we had approximately 6.4 million consumer products transacted, which represented an increase of 68.4% from 3.8 million of consumer products transacted in the same period of 2020. The number of consumer products transacted in 2020 contributed to GMV of RMB19.6 billion, representing a 60.7% growth from RMB12.2 billion of GMV in 2019. The number of consumer products transacted in the three months ended March 31, 2021 contributed to GMV of RMB6.2 billion, representing a 106.7% growth from RMB3.0 billion of GMV in the same period of 2020.</w:t>
      </w:r>
    </w:p>
    <w:p>
      <w:pPr>
        <w:spacing w:after="0" w:line="207" w:lineRule="exact"/>
        <w:rPr>
          <w:sz w:val="20"/>
          <w:szCs w:val="20"/>
          <w:color w:val="auto"/>
        </w:rPr>
      </w:pPr>
    </w:p>
    <w:p>
      <w:pPr>
        <w:ind w:left="300" w:right="100" w:firstLine="532"/>
        <w:spacing w:after="0" w:line="246" w:lineRule="auto"/>
        <w:rPr>
          <w:sz w:val="20"/>
          <w:szCs w:val="20"/>
          <w:color w:val="auto"/>
        </w:rPr>
      </w:pPr>
      <w:r>
        <w:rPr>
          <w:rFonts w:ascii="Arial" w:cs="Arial" w:eastAsia="Arial" w:hAnsi="Arial"/>
          <w:sz w:val="18"/>
          <w:szCs w:val="18"/>
          <w:color w:val="auto"/>
        </w:rPr>
        <w:t>Our net revenue increased by 20.6% from RMB3,261.5 million in 2018 to RMB3,931.9 million in 2019, and further by 23.6% to RMB4,858.2 million (US$741.5 million) in 2020. Our net revenue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50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36" w:lineRule="auto"/>
        <w:rPr>
          <w:sz w:val="20"/>
          <w:szCs w:val="20"/>
          <w:color w:val="auto"/>
        </w:rPr>
      </w:pPr>
      <w:r>
        <w:rPr>
          <w:rFonts w:ascii="Arial" w:cs="Arial" w:eastAsia="Arial" w:hAnsi="Arial"/>
          <w:sz w:val="18"/>
          <w:szCs w:val="18"/>
          <w:color w:val="auto"/>
        </w:rPr>
        <w:t>increased by 118.8% from RMB692.2 million in the three months ended March 31, 2020 to RMB1,514.4 million (US$231.1 million) in the same period of 2021. Our loss from operations was RMB256.5 million, RMB731.8 million, RMB458.8 million (US$70.0 million) and RMB111.4 million (US$17.0 million) in 2018, 2019, 2020 and the three months ended March 31, 2021, respectively. Our adjusted loss from operations, a non-GAAP financial measure, was RMB232.8 million, RMB535.2 million, RMB143.7 million (US$21.9 million) and RMB33.6 million (US$5.1 million) in 2018, 2019, 2020 and the three months ended March 31, 2021, respectively. We recorded net loss of RMB207.9 million, RMB704.9 million, RMB470.6 million (US$71.8 million) and RMB94.8 million (US$14.5 million) in 2018, 2019, 2020 and the three months ended March 31, 2021, respectively. Our adjusted net loss, a non-GAAP financial measure, was RMB210.0 million, RMB538.4 million, RMB202.8 million (US$31.0 million) and RMB36.4 million (US$5.6 million) in 2018, 2019, 2020 and the three months ended March 31, 2021, respectively. See “Summary Consolidated Financial and Operating Data—Non-GAAP Financial Measures.”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believe the following competitive strengths contribute to our success and set us apart from our competitors:</w:t>
      </w:r>
    </w:p>
    <w:p>
      <w:pPr>
        <w:spacing w:after="0" w:line="117" w:lineRule="exact"/>
        <w:rPr>
          <w:sz w:val="20"/>
          <w:szCs w:val="20"/>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China’s largest pre-owned consumer electronics transactions and services platform;</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pioneer in developing industry infrastructure and standards;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unique supply and demand flywheel driving continuous growth;</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proprietary and innovative technologies;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highly synergistic relationship with JD Group; and</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visionary, entrepreneurial management team continually innovating and transforming the industry.</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Strategies</w:t>
      </w:r>
    </w:p>
    <w:p>
      <w:pPr>
        <w:spacing w:after="0" w:line="234" w:lineRule="exact"/>
        <w:rPr>
          <w:sz w:val="20"/>
          <w:szCs w:val="20"/>
          <w:color w:val="auto"/>
        </w:rPr>
      </w:pPr>
    </w:p>
    <w:p>
      <w:pPr>
        <w:ind w:left="300" w:right="220" w:firstLine="532"/>
        <w:spacing w:after="0"/>
        <w:rPr>
          <w:sz w:val="20"/>
          <w:szCs w:val="20"/>
          <w:color w:val="auto"/>
        </w:rPr>
      </w:pPr>
      <w:r>
        <w:rPr>
          <w:rFonts w:ascii="Arial" w:cs="Arial" w:eastAsia="Arial" w:hAnsi="Arial"/>
          <w:sz w:val="18"/>
          <w:szCs w:val="18"/>
          <w:color w:val="auto"/>
        </w:rPr>
        <w:t>Since our inception, we have advanced the pre-owned consumer electronics transactions and services industry. Through the following strategies, we aim to further grow our business as well as increase the overall penetration of pre-owned consumer electronics in China and globally:</w:t>
      </w:r>
    </w:p>
    <w:p>
      <w:pPr>
        <w:spacing w:after="0" w:line="108" w:lineRule="exact"/>
        <w:rPr>
          <w:sz w:val="20"/>
          <w:szCs w:val="20"/>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our sources of supply and continue to empower pre-owned consumer electronics industry participants;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strengthen the industry infrastructure and our ability to define industry standards;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demand by broadening our consumer and merchant reach and other distribution channels;</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improve our technology capabilities; and</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 our international presence.</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234" w:lineRule="exact"/>
        <w:rPr>
          <w:sz w:val="20"/>
          <w:szCs w:val="20"/>
          <w:color w:val="auto"/>
        </w:rPr>
      </w:pPr>
    </w:p>
    <w:p>
      <w:pPr>
        <w:ind w:left="300" w:right="20" w:firstLine="532"/>
        <w:spacing w:after="0" w:line="261" w:lineRule="auto"/>
        <w:rPr>
          <w:sz w:val="20"/>
          <w:szCs w:val="20"/>
          <w:color w:val="auto"/>
        </w:rPr>
      </w:pPr>
      <w:r>
        <w:rPr>
          <w:rFonts w:ascii="Arial" w:cs="Arial" w:eastAsia="Arial" w:hAnsi="Arial"/>
          <w:sz w:val="17"/>
          <w:szCs w:val="17"/>
          <w:color w:val="auto"/>
        </w:rPr>
        <w:t>An investment in our ADSs involves significant risks. You should consider carefully all of the information in this prospectus, including the risks and uncertainties described below, before making an investment in our ADSs. Below is a summary of material risks we face, organized under relevant headings. Full-fledged discussion of these risks can be found in the section headed “Risk factors.”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Risks and uncertainties relating to our business and industry include, but are not limited to, the following:</w:t>
      </w:r>
    </w:p>
    <w:p>
      <w:pPr>
        <w:spacing w:after="0" w:line="117" w:lineRule="exact"/>
        <w:rPr>
          <w:sz w:val="20"/>
          <w:szCs w:val="20"/>
          <w:color w:val="auto"/>
        </w:rPr>
      </w:pPr>
    </w:p>
    <w:p>
      <w:pPr>
        <w:ind w:left="1020" w:right="24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industry is rapidly evolving and our business model may not continue to be successful or achieve wide acceptance as we anticipated;</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attract and engage consumers, third-party merchants or other participants in the pre-owned consumer electronics value chain, or provide them with superior experience, our business and reputation may be materially and adversely affected;</w:t>
      </w:r>
    </w:p>
    <w:p>
      <w:pPr>
        <w:spacing w:after="0" w:line="108" w:lineRule="exact"/>
        <w:rPr>
          <w:rFonts w:ascii="Arial" w:cs="Arial" w:eastAsia="Arial" w:hAnsi="Arial"/>
          <w:sz w:val="18"/>
          <w:szCs w:val="18"/>
          <w:color w:val="auto"/>
        </w:rPr>
      </w:pPr>
    </w:p>
    <w:p>
      <w:pPr>
        <w:ind w:left="1020" w:right="36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maintain our existing customer base and attract new customers, our business, financial condition and results of operations may be materially and adversely affected;</w:t>
      </w:r>
    </w:p>
    <w:p>
      <w:pPr>
        <w:spacing w:after="0" w:line="102" w:lineRule="exact"/>
        <w:rPr>
          <w:rFonts w:ascii="Arial" w:cs="Arial" w:eastAsia="Arial" w:hAnsi="Arial"/>
          <w:sz w:val="18"/>
          <w:szCs w:val="18"/>
          <w:color w:val="auto"/>
        </w:rPr>
      </w:pPr>
    </w:p>
    <w:p>
      <w:pPr>
        <w:ind w:left="1020" w:right="76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deterioration in our relationships with our major business partners, such as JD Group, may adversely affect our business prospects and business operations;</w:t>
      </w:r>
    </w:p>
    <w:p>
      <w:pPr>
        <w:spacing w:after="0" w:line="102" w:lineRule="exact"/>
        <w:rPr>
          <w:rFonts w:ascii="Arial" w:cs="Arial" w:eastAsia="Arial" w:hAnsi="Arial"/>
          <w:sz w:val="18"/>
          <w:szCs w:val="18"/>
          <w:color w:val="auto"/>
        </w:rPr>
      </w:pPr>
    </w:p>
    <w:p>
      <w:pPr>
        <w:ind w:left="1020" w:right="22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manage our growth or execute our strategies effectively, our business and prospects may be materially and adversely affected;</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not profitable and have negative net cash flows from operating activities, which may continue in the future;</w:t>
      </w:r>
    </w:p>
    <w:p>
      <w:pPr>
        <w:spacing w:after="0" w:line="117" w:lineRule="exact"/>
        <w:rPr>
          <w:rFonts w:ascii="Arial" w:cs="Arial" w:eastAsia="Arial" w:hAnsi="Arial"/>
          <w:sz w:val="18"/>
          <w:szCs w:val="18"/>
          <w:color w:val="auto"/>
        </w:rPr>
      </w:pPr>
    </w:p>
    <w:p>
      <w:pPr>
        <w:jc w:val="both"/>
        <w:ind w:left="1020" w:right="1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growth and profitability of our business depend on the level of consumer demand and discretionary spending. A severe or prolonged economic downturn in China or around the world could materially and adversely affect consumer discretionary spending and therefore adversely affect our business, financial condition and results of operations;</w:t>
      </w:r>
    </w:p>
    <w:p>
      <w:pPr>
        <w:spacing w:after="0" w:line="108"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have been and may continue to be affected by the COVID-19 pandemic;</w:t>
      </w:r>
    </w:p>
    <w:p>
      <w:pPr>
        <w:spacing w:after="0" w:line="117" w:lineRule="exact"/>
        <w:rPr>
          <w:rFonts w:ascii="Arial" w:cs="Arial" w:eastAsia="Arial" w:hAnsi="Arial"/>
          <w:sz w:val="18"/>
          <w:szCs w:val="18"/>
          <w:color w:val="auto"/>
        </w:rPr>
      </w:pPr>
    </w:p>
    <w:p>
      <w:pPr>
        <w:ind w:left="1020" w:right="74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effectively and accurately inspect, grade and price pre-owned goods, in particular, consumer electronics;</w:t>
      </w:r>
    </w:p>
    <w:p>
      <w:pPr>
        <w:spacing w:after="0" w:line="102" w:lineRule="exact"/>
        <w:rPr>
          <w:rFonts w:ascii="Arial" w:cs="Arial" w:eastAsia="Arial" w:hAnsi="Arial"/>
          <w:sz w:val="18"/>
          <w:szCs w:val="18"/>
          <w:color w:val="auto"/>
        </w:rPr>
      </w:pPr>
    </w:p>
    <w:p>
      <w:pPr>
        <w:ind w:left="1020" w:right="200" w:hanging="195"/>
        <w:spacing w:after="0" w:line="238"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differences between our collection and resale of pre-owned consumer electronics in connection with our self-operated transactions and the fees we charge from transactions on our online marketplaces may fluctuate or decline in the future. Any material decrease in such fees or price differences would harm our business, financial condition and results of operations;</w:t>
      </w:r>
    </w:p>
    <w:p>
      <w:pPr>
        <w:spacing w:after="0" w:line="110" w:lineRule="exact"/>
        <w:rPr>
          <w:rFonts w:ascii="Arial" w:cs="Arial" w:eastAsia="Arial" w:hAnsi="Arial"/>
          <w:sz w:val="18"/>
          <w:szCs w:val="18"/>
          <w:color w:val="auto"/>
        </w:rPr>
      </w:pPr>
    </w:p>
    <w:p>
      <w:pPr>
        <w:ind w:left="1020" w:right="34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expand our AHS store network successfully, our business or results of operations would be adversely affected;</w:t>
      </w:r>
    </w:p>
    <w:p>
      <w:pPr>
        <w:spacing w:after="0" w:line="102" w:lineRule="exact"/>
        <w:rPr>
          <w:rFonts w:ascii="Arial" w:cs="Arial" w:eastAsia="Arial" w:hAnsi="Arial"/>
          <w:sz w:val="18"/>
          <w:szCs w:val="18"/>
          <w:color w:val="auto"/>
        </w:rPr>
      </w:pPr>
    </w:p>
    <w:p>
      <w:pPr>
        <w:ind w:left="1020" w:right="18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successfully operate offline AHS stores could materially and adversely harm our reputation, business and results of operations;</w:t>
      </w:r>
    </w:p>
    <w:p>
      <w:pPr>
        <w:spacing w:after="0" w:line="102" w:lineRule="exact"/>
        <w:rPr>
          <w:rFonts w:ascii="Arial" w:cs="Arial" w:eastAsia="Arial" w:hAnsi="Arial"/>
          <w:sz w:val="18"/>
          <w:szCs w:val="18"/>
          <w:color w:val="auto"/>
        </w:rPr>
      </w:pPr>
    </w:p>
    <w:p>
      <w:pPr>
        <w:ind w:left="1020" w:right="440" w:hanging="195"/>
        <w:spacing w:after="0" w:line="24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successful operations of our PJT Marketplace and Paipai Marketplace depend on our ability to maintain and attract more third-party merchants and consumers to our online marketplaces;</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various risks in connection with our cooperation with third-party merchants;</w:t>
      </w:r>
    </w:p>
    <w:p>
      <w:pPr>
        <w:spacing w:after="0" w:line="117" w:lineRule="exact"/>
        <w:rPr>
          <w:rFonts w:ascii="Arial" w:cs="Arial" w:eastAsia="Arial" w:hAnsi="Arial"/>
          <w:sz w:val="18"/>
          <w:szCs w:val="18"/>
          <w:color w:val="auto"/>
        </w:rPr>
      </w:pPr>
    </w:p>
    <w:p>
      <w:pPr>
        <w:ind w:left="1020" w:right="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Privacy concerns relating to pre-owned consumer electronics and the collection, store and use of customer information could deter current and potential customers from choosing our products or services, damage our reputation, impede our business growth and thus negatively impact our business; and</w:t>
      </w:r>
    </w:p>
    <w:p>
      <w:pPr>
        <w:spacing w:after="0" w:line="108" w:lineRule="exact"/>
        <w:rPr>
          <w:rFonts w:ascii="Arial" w:cs="Arial" w:eastAsia="Arial" w:hAnsi="Arial"/>
          <w:sz w:val="18"/>
          <w:szCs w:val="18"/>
          <w:color w:val="auto"/>
        </w:rPr>
      </w:pPr>
    </w:p>
    <w:p>
      <w:pPr>
        <w:ind w:left="1020" w:hanging="195"/>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expansion into new product categories and offering of new services may expose us to new challenges and more risks.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Our Corporate Structure</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Risks and uncertainties relating to our corporate structure include, without limitation, the following:</w:t>
      </w:r>
    </w:p>
    <w:p>
      <w:pPr>
        <w:spacing w:after="0" w:line="117" w:lineRule="exact"/>
        <w:rPr>
          <w:sz w:val="20"/>
          <w:szCs w:val="20"/>
          <w:color w:val="auto"/>
        </w:rPr>
      </w:pPr>
    </w:p>
    <w:p>
      <w:pPr>
        <w:ind w:left="1020" w:hanging="195"/>
        <w:spacing w:after="0" w:line="238"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PRC government finds that the agreements that establish the structure for operating certain of our businesses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110" w:lineRule="exact"/>
        <w:rPr>
          <w:rFonts w:ascii="Arial" w:cs="Arial" w:eastAsia="Arial" w:hAnsi="Arial"/>
          <w:sz w:val="18"/>
          <w:szCs w:val="18"/>
          <w:color w:val="auto"/>
        </w:rPr>
      </w:pPr>
    </w:p>
    <w:p>
      <w:pPr>
        <w:ind w:left="1020" w:right="38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contractual arrangements with our VIEs and their respective shareholders for a large portion of our business operations, which may not be as effective as direct ownership in providing operational control; and</w:t>
      </w:r>
    </w:p>
    <w:p>
      <w:pPr>
        <w:spacing w:after="0" w:line="102" w:lineRule="exact"/>
        <w:rPr>
          <w:rFonts w:ascii="Arial" w:cs="Arial" w:eastAsia="Arial" w:hAnsi="Arial"/>
          <w:sz w:val="18"/>
          <w:szCs w:val="18"/>
          <w:color w:val="auto"/>
        </w:rPr>
      </w:pPr>
    </w:p>
    <w:p>
      <w:pPr>
        <w:ind w:left="1020" w:right="2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by our VIEs or their respective shareholders to perform their obligations under our contractual arrangements with them would have a material and adverse effect on our business.</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Related to Doing Business in China</w:t>
      </w:r>
    </w:p>
    <w:p>
      <w:pPr>
        <w:spacing w:after="0" w:line="126" w:lineRule="exact"/>
        <w:rPr>
          <w:sz w:val="20"/>
          <w:szCs w:val="20"/>
          <w:color w:val="auto"/>
        </w:rPr>
      </w:pPr>
    </w:p>
    <w:p>
      <w:pPr>
        <w:ind w:left="300" w:right="220" w:firstLine="532"/>
        <w:spacing w:after="0" w:line="246" w:lineRule="auto"/>
        <w:rPr>
          <w:sz w:val="20"/>
          <w:szCs w:val="20"/>
          <w:color w:val="auto"/>
        </w:rPr>
      </w:pPr>
      <w:r>
        <w:rPr>
          <w:rFonts w:ascii="Arial" w:cs="Arial" w:eastAsia="Arial" w:hAnsi="Arial"/>
          <w:sz w:val="18"/>
          <w:szCs w:val="18"/>
          <w:color w:val="auto"/>
        </w:rPr>
        <w:t>We are also subject to risks and uncertainties relating to doing business in China in general, including, but are not limited to, the following:</w:t>
      </w:r>
    </w:p>
    <w:p>
      <w:pPr>
        <w:spacing w:after="0" w:line="102" w:lineRule="exact"/>
        <w:rPr>
          <w:sz w:val="20"/>
          <w:szCs w:val="20"/>
          <w:color w:val="auto"/>
        </w:rPr>
      </w:pPr>
    </w:p>
    <w:p>
      <w:pPr>
        <w:ind w:left="1020" w:right="18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China’s economic, political or social conditions or government policies could have a material adverse effect on our business and operations;</w:t>
      </w:r>
    </w:p>
    <w:p>
      <w:pPr>
        <w:spacing w:after="0" w:line="102" w:lineRule="exact"/>
        <w:rPr>
          <w:rFonts w:ascii="Arial" w:cs="Arial" w:eastAsia="Arial" w:hAnsi="Arial"/>
          <w:sz w:val="18"/>
          <w:szCs w:val="18"/>
          <w:color w:val="auto"/>
        </w:rPr>
      </w:pPr>
    </w:p>
    <w:p>
      <w:pPr>
        <w:ind w:left="1020" w:right="280" w:hanging="19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108" w:lineRule="exact"/>
        <w:rPr>
          <w:rFonts w:ascii="Arial" w:cs="Arial" w:eastAsia="Arial" w:hAnsi="Arial"/>
          <w:sz w:val="18"/>
          <w:szCs w:val="18"/>
          <w:color w:val="auto"/>
        </w:rPr>
      </w:pPr>
    </w:p>
    <w:p>
      <w:pPr>
        <w:ind w:left="1020" w:right="2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You may experience difficulties in effecting service of legal process, enforcing foreign judgments or bringing actions in China against us or our management based on foreign laws; and</w:t>
      </w:r>
    </w:p>
    <w:p>
      <w:pPr>
        <w:spacing w:after="0" w:line="102" w:lineRule="exact"/>
        <w:rPr>
          <w:rFonts w:ascii="Arial" w:cs="Arial" w:eastAsia="Arial" w:hAnsi="Arial"/>
          <w:sz w:val="18"/>
          <w:szCs w:val="18"/>
          <w:color w:val="auto"/>
        </w:rPr>
      </w:pPr>
    </w:p>
    <w:p>
      <w:pPr>
        <w:ind w:left="1020" w:right="240" w:hanging="195"/>
        <w:spacing w:after="0" w:line="23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ADSs may be delisted under the Holding Foreign Companies Accountable Act if the Public Company Accounting Oversight Board, or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Risks Related to The ADSs and This Offering</w:t>
      </w:r>
    </w:p>
    <w:p>
      <w:pPr>
        <w:spacing w:after="0" w:line="126" w:lineRule="exact"/>
        <w:rPr>
          <w:sz w:val="20"/>
          <w:szCs w:val="20"/>
          <w:color w:val="auto"/>
        </w:rPr>
      </w:pPr>
    </w:p>
    <w:p>
      <w:pPr>
        <w:ind w:left="300" w:firstLine="532"/>
        <w:spacing w:after="0" w:line="246" w:lineRule="auto"/>
        <w:rPr>
          <w:sz w:val="20"/>
          <w:szCs w:val="20"/>
          <w:color w:val="auto"/>
        </w:rPr>
      </w:pPr>
      <w:r>
        <w:rPr>
          <w:rFonts w:ascii="Arial" w:cs="Arial" w:eastAsia="Arial" w:hAnsi="Arial"/>
          <w:sz w:val="18"/>
          <w:szCs w:val="18"/>
          <w:color w:val="auto"/>
        </w:rPr>
        <w:t>In addition to the risks described above, we are subject to general risks related to the ADSs and this offering, including, without limitation, the following:</w:t>
      </w:r>
    </w:p>
    <w:p>
      <w:pPr>
        <w:spacing w:after="0" w:line="102" w:lineRule="exact"/>
        <w:rPr>
          <w:sz w:val="20"/>
          <w:szCs w:val="20"/>
          <w:color w:val="auto"/>
        </w:rPr>
      </w:pPr>
    </w:p>
    <w:p>
      <w:pPr>
        <w:ind w:left="1020" w:right="20" w:hanging="195"/>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has been no public market for our shares or ADSs prior to this offering, and you may not be able to resell our ADSs at or above the price you paid, or at all;</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trading price of our ADSs may be volatile, which could result in substantial losses to you;</w:t>
      </w:r>
    </w:p>
    <w:p>
      <w:pPr>
        <w:spacing w:after="0" w:line="117" w:lineRule="exact"/>
        <w:rPr>
          <w:rFonts w:ascii="Arial" w:cs="Arial" w:eastAsia="Arial" w:hAnsi="Arial"/>
          <w:sz w:val="18"/>
          <w:szCs w:val="18"/>
          <w:color w:val="auto"/>
        </w:rPr>
      </w:pPr>
    </w:p>
    <w:p>
      <w:pPr>
        <w:ind w:left="1020" w:right="200" w:hanging="195"/>
        <w:spacing w:after="0" w:line="274"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80" w:lineRule="exact"/>
        <w:rPr>
          <w:rFonts w:ascii="Arial" w:cs="Arial" w:eastAsia="Arial" w:hAnsi="Arial"/>
          <w:sz w:val="17"/>
          <w:szCs w:val="17"/>
          <w:color w:val="auto"/>
        </w:rPr>
      </w:pPr>
    </w:p>
    <w:p>
      <w:pPr>
        <w:ind w:left="1020" w:right="60" w:hanging="195"/>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voting rights of holders of ADSs are limited by the terms of the deposit agreement, and you may not be able to exercise the same rights as our shareholders;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20" w:right="600" w:hanging="195"/>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may face difficulties in protecting your interests, and your ability to protect your rights through U.S. courts may be limited, because we are incorporated under Cayman Islands law.</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History and Structure</w:t>
      </w:r>
    </w:p>
    <w:p>
      <w:pPr>
        <w:spacing w:after="0" w:line="234" w:lineRule="exact"/>
        <w:rPr>
          <w:sz w:val="20"/>
          <w:szCs w:val="20"/>
          <w:color w:val="auto"/>
        </w:rPr>
      </w:pPr>
    </w:p>
    <w:p>
      <w:pPr>
        <w:ind w:left="300" w:firstLine="532"/>
        <w:spacing w:after="0" w:line="236" w:lineRule="auto"/>
        <w:rPr>
          <w:sz w:val="20"/>
          <w:szCs w:val="20"/>
          <w:color w:val="auto"/>
        </w:rPr>
      </w:pPr>
      <w:r>
        <w:rPr>
          <w:rFonts w:ascii="Arial" w:cs="Arial" w:eastAsia="Arial" w:hAnsi="Arial"/>
          <w:sz w:val="18"/>
          <w:szCs w:val="18"/>
          <w:color w:val="auto"/>
        </w:rPr>
        <w:t>We commenced our operations in 2011 by procuring pre-owned phones and other consumer electronics from consumers through AHS Recycle. In 2014, we expanded to offline channels by opening self-operated offline AHS stores in popular shopping malls. In 2015, we started cooperating with e-commerce platforms such as JD.com, and consumer electronics brands such as Xiaomi, to attract their user traffic to our offline AHS stores for trade-in. In an attempt to further leverage our supply chain capabilities and quality inspection, grading and pricing capability accumulated in years of our business operations, in late 2017, we launched PJT Marketplace, an online bidding platform where AHS Recycle and third-party merchants sell pre-owned consumer electronics to buyers, primarily small merchants and retailers, and, in 2019, we acquired Paipai Marketplace, a B2C transaction platform for pre-owned products, from JD Group.</w:t>
      </w:r>
    </w:p>
    <w:p>
      <w:pPr>
        <w:spacing w:after="0" w:line="208" w:lineRule="exact"/>
        <w:rPr>
          <w:sz w:val="20"/>
          <w:szCs w:val="20"/>
          <w:color w:val="auto"/>
        </w:rPr>
      </w:pPr>
    </w:p>
    <w:p>
      <w:pPr>
        <w:ind w:left="300" w:right="160" w:firstLine="532"/>
        <w:spacing w:after="0" w:line="238" w:lineRule="auto"/>
        <w:rPr>
          <w:sz w:val="20"/>
          <w:szCs w:val="20"/>
          <w:color w:val="auto"/>
        </w:rPr>
      </w:pPr>
      <w:r>
        <w:rPr>
          <w:rFonts w:ascii="Arial" w:cs="Arial" w:eastAsia="Arial" w:hAnsi="Arial"/>
          <w:sz w:val="18"/>
          <w:szCs w:val="18"/>
          <w:color w:val="auto"/>
        </w:rPr>
        <w:t>To facilitate our offshore financing, we established our offshore holding structure during the period from November 2011 to August 2012. Specifically, we established AiHuiShou International Co. Ltd., our current holding company, in Cayman Islands in November 2011. Our Cayman holding company further established AiHuiShou International Company Limited, or AiHuiShou HK, as its wholly-owned subsidiary in Hong Kong in January 2012. In August 2012, AiHuiShou HK further established a wholly-owned subsidiary, Shanghai Aihui Trading Co., Ltd., or Shanghai Aihui, in China.</w:t>
      </w:r>
    </w:p>
    <w:p>
      <w:pPr>
        <w:spacing w:after="0" w:line="202" w:lineRule="exact"/>
        <w:rPr>
          <w:sz w:val="20"/>
          <w:szCs w:val="20"/>
          <w:color w:val="auto"/>
        </w:rPr>
      </w:pPr>
    </w:p>
    <w:p>
      <w:pPr>
        <w:ind w:left="300" w:right="100" w:firstLine="532"/>
        <w:spacing w:after="0" w:line="206" w:lineRule="exact"/>
        <w:rPr>
          <w:sz w:val="20"/>
          <w:szCs w:val="20"/>
          <w:color w:val="auto"/>
        </w:rPr>
      </w:pPr>
      <w:r>
        <w:rPr>
          <w:rFonts w:ascii="Arial" w:cs="Arial" w:eastAsia="Arial" w:hAnsi="Arial"/>
          <w:sz w:val="18"/>
          <w:szCs w:val="18"/>
          <w:color w:val="auto"/>
        </w:rPr>
        <w:t>After we established our offshore holding structure in August 2012, we obtained control over Shanghai Wanwuxinsheng Environmental Protection Technology Group Co., Ltd., or Shanghai Wanwuxinsheng, a company jointly established by Mr. Kerry Xuefeng Chen and Mr. Wenjun Sun in China in May 2010 under the name of Shanghai Yueyee Network Information Technology Co., Ltd. (</w:t>
      </w:r>
      <w:r>
        <w:rPr>
          <w:rFonts w:ascii="SimSun" w:cs="SimSun" w:eastAsia="SimSun" w:hAnsi="SimSun"/>
          <w:sz w:val="16"/>
          <w:szCs w:val="16"/>
          <w:color w:val="auto"/>
        </w:rPr>
        <w:t>上海悦易网络信息技术有限公司</w:t>
      </w:r>
      <w:r>
        <w:rPr>
          <w:rFonts w:ascii="Arial" w:cs="Arial" w:eastAsia="Arial" w:hAnsi="Arial"/>
          <w:sz w:val="18"/>
          <w:szCs w:val="18"/>
          <w:color w:val="auto"/>
        </w:rPr>
        <w:t>), by entering into a set of contractual arrangements between Shanghai Aihui, Shanghai</w:t>
      </w:r>
    </w:p>
    <w:p>
      <w:pPr>
        <w:spacing w:after="0" w:line="16" w:lineRule="exact"/>
        <w:rPr>
          <w:sz w:val="20"/>
          <w:szCs w:val="20"/>
          <w:color w:val="auto"/>
        </w:rPr>
      </w:pPr>
    </w:p>
    <w:p>
      <w:pPr>
        <w:ind w:left="300" w:right="40"/>
        <w:spacing w:after="0" w:line="236" w:lineRule="auto"/>
        <w:rPr>
          <w:sz w:val="20"/>
          <w:szCs w:val="20"/>
          <w:color w:val="auto"/>
        </w:rPr>
      </w:pPr>
      <w:r>
        <w:rPr>
          <w:rFonts w:ascii="Arial" w:cs="Arial" w:eastAsia="Arial" w:hAnsi="Arial"/>
          <w:sz w:val="18"/>
          <w:szCs w:val="18"/>
          <w:color w:val="auto"/>
        </w:rPr>
        <w:t>Wanwuxinsheng and the shareholders of Shanghai Wanwuxinsheng in August 2012. The contractual arrangements were supplemented, amended or restated several times and the latest set of contractual arrangements consist of (i) the exclusive technology consulting and management service agreement and a supplement agreement allowing us to receive all economic benefits of Shanghai Wanwuxinsheng, (ii) the business operation agreement allowing us to control the business operations and management of Shanghai Wanwuxinsheng, (iii) the third amended and restated option purchase agreements granting us an option to acquire all equity interests of Shanghai Wanwuxinsheng, (iv) the third amended and restated share pledge agreement pledging us all equity interests of Shanghai Wanwuxinsheng to guarantee the performance of obligations by Shanghai Wanwuxinsheng and its shareholders under the contractual arrangements, (v) the voting proxy agreement granting us all rights as the shareholders of Shanghai Wanwuxinsheng, (vi) the amended and restated powers of attorney executed by each of the shareholders of Shanghai Wanwuxinsheng irrevocably delegating us the full power to act as shareholders of Shanghai Wanwuxinsheng, and (vii) the spousal consent letters executed by each of the spouses of Mr. Kerry Xuefeng Chen and Mr. Wenjun Sun. Shanghai Wanwuxinsheng is the primary entity through which we carry out our research and development activities and innovation and provide back office supports to our business operations.</w:t>
      </w:r>
    </w:p>
    <w:p>
      <w:pPr>
        <w:spacing w:after="0" w:line="203" w:lineRule="exact"/>
        <w:rPr>
          <w:sz w:val="20"/>
          <w:szCs w:val="20"/>
          <w:color w:val="auto"/>
        </w:rPr>
      </w:pPr>
    </w:p>
    <w:p>
      <w:pPr>
        <w:ind w:left="300" w:right="20" w:firstLine="532"/>
        <w:spacing w:after="0" w:line="226" w:lineRule="exact"/>
        <w:rPr>
          <w:sz w:val="20"/>
          <w:szCs w:val="20"/>
          <w:color w:val="auto"/>
        </w:rPr>
      </w:pPr>
      <w:r>
        <w:rPr>
          <w:rFonts w:ascii="Arial" w:cs="Arial" w:eastAsia="Arial" w:hAnsi="Arial"/>
          <w:sz w:val="18"/>
          <w:szCs w:val="18"/>
          <w:color w:val="auto"/>
        </w:rPr>
        <w:t>Shanghai Wanwuxinsheng further established in China (i) Shanghai Yueyi Network Information Technology Co., Ltd. (</w:t>
      </w:r>
      <w:r>
        <w:rPr>
          <w:rFonts w:ascii="SimSun" w:cs="SimSun" w:eastAsia="SimSun" w:hAnsi="SimSun"/>
          <w:sz w:val="16"/>
          <w:szCs w:val="16"/>
          <w:color w:val="auto"/>
        </w:rPr>
        <w:t>上海悦亿网络信息技术有限公司</w:t>
      </w:r>
      <w:r>
        <w:rPr>
          <w:rFonts w:ascii="Arial" w:cs="Arial" w:eastAsia="Arial" w:hAnsi="Arial"/>
          <w:sz w:val="18"/>
          <w:szCs w:val="18"/>
          <w:color w:val="auto"/>
        </w:rPr>
        <w:t>) in September 2015 and (ii) Changzhou Yueyi Network Information Technology Co., Ltd., or Changzhou Yueyi, in June 2017. Shanghai Yueyi mainly operates our own offline AHS stores in the AHS store network and our PJT and Paipai online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300"/>
        <w:spacing w:after="0" w:line="246" w:lineRule="auto"/>
        <w:rPr>
          <w:sz w:val="20"/>
          <w:szCs w:val="20"/>
          <w:color w:val="auto"/>
        </w:rPr>
      </w:pPr>
      <w:r>
        <w:rPr>
          <w:rFonts w:ascii="Arial" w:cs="Arial" w:eastAsia="Arial" w:hAnsi="Arial"/>
          <w:sz w:val="18"/>
          <w:szCs w:val="18"/>
          <w:color w:val="auto"/>
        </w:rPr>
        <w:t>marketplaces, as well as other innovative businesses. Changzhou Yueyi mainly engages in the collection of pre-owned consumer electronics sourced from JD Group’s e-commerce platforms, our brand partners and distributor partners.</w:t>
      </w:r>
    </w:p>
    <w:p>
      <w:pPr>
        <w:spacing w:after="0" w:line="197" w:lineRule="exact"/>
        <w:rPr>
          <w:sz w:val="20"/>
          <w:szCs w:val="20"/>
          <w:color w:val="auto"/>
        </w:rPr>
      </w:pPr>
    </w:p>
    <w:p>
      <w:pPr>
        <w:ind w:left="300" w:right="240" w:firstLine="532"/>
        <w:spacing w:after="0"/>
        <w:rPr>
          <w:sz w:val="20"/>
          <w:szCs w:val="20"/>
          <w:color w:val="auto"/>
        </w:rPr>
      </w:pPr>
      <w:r>
        <w:rPr>
          <w:rFonts w:ascii="Arial" w:cs="Arial" w:eastAsia="Arial" w:hAnsi="Arial"/>
          <w:sz w:val="18"/>
          <w:szCs w:val="18"/>
          <w:color w:val="auto"/>
        </w:rPr>
        <w:t>In March 2017, we started to expand our business to overseas market and established AHS Device Hong Kong (formerly known as Shanghai Yueyi Network (HK) Co., Limited and Aihuishou Global Co., Limited), or AHS Device HK, in Hong Kong as the primarily entity operating our overseas business.</w:t>
      </w:r>
    </w:p>
    <w:p>
      <w:pPr>
        <w:spacing w:after="0" w:line="203" w:lineRule="exact"/>
        <w:rPr>
          <w:sz w:val="20"/>
          <w:szCs w:val="20"/>
          <w:color w:val="auto"/>
        </w:rPr>
      </w:pPr>
    </w:p>
    <w:p>
      <w:pPr>
        <w:ind w:left="300" w:right="920" w:firstLine="532"/>
        <w:spacing w:after="0" w:line="246" w:lineRule="auto"/>
        <w:rPr>
          <w:sz w:val="20"/>
          <w:szCs w:val="20"/>
          <w:color w:val="auto"/>
        </w:rPr>
      </w:pPr>
      <w:r>
        <w:rPr>
          <w:rFonts w:ascii="Arial" w:cs="Arial" w:eastAsia="Arial" w:hAnsi="Arial"/>
          <w:sz w:val="18"/>
          <w:szCs w:val="18"/>
          <w:color w:val="auto"/>
        </w:rPr>
        <w:t>The following diagram illustrates our corporate structure as of the date of this prospectus consisting of our principal subsidiaries, our variable interest entities and principal subsidiaries of our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20" w:hanging="422"/>
        <w:spacing w:after="0" w:line="241" w:lineRule="auto"/>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Shanghai Wanwuxinsheng Environmental Protection Technology Group Co., Ltd. is 72.3425% owned by Mr. Kerry Xuefeng Chen, our co-founder, chairman and chief executive officer, and 27.6575% owned by Mr. Wenjun Sun, our co-founder. Both Mr. Chen and Mr. Sun are beneficial owners of our company.</w:t>
      </w:r>
    </w:p>
    <w:p>
      <w:pPr>
        <w:ind w:left="720" w:right="240" w:hanging="422"/>
        <w:spacing w:after="0" w:line="258" w:lineRule="auto"/>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Shenzhen Lvchuang Network Technology Co., Ltd. is wholly owned by Mr. Haichen Shen, our employee. Shenzhen Lvchuang Network Technology Co., Ltd. currently does not engage in any business operations.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 of Being a Foreign Private Issuer</w:t>
      </w:r>
    </w:p>
    <w:p>
      <w:pPr>
        <w:spacing w:after="0" w:line="234" w:lineRule="exact"/>
        <w:rPr>
          <w:sz w:val="20"/>
          <w:szCs w:val="20"/>
          <w:color w:val="auto"/>
        </w:rPr>
      </w:pPr>
    </w:p>
    <w:p>
      <w:pPr>
        <w:ind w:left="300" w:right="120" w:firstLine="532"/>
        <w:spacing w:after="0"/>
        <w:rPr>
          <w:sz w:val="20"/>
          <w:szCs w:val="20"/>
          <w:color w:val="auto"/>
        </w:rPr>
      </w:pPr>
      <w:r>
        <w:rPr>
          <w:rFonts w:ascii="Arial" w:cs="Arial" w:eastAsia="Arial" w:hAnsi="Arial"/>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33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0"/>
        <w:spacing w:after="0" w:line="237" w:lineRule="auto"/>
        <w:rPr>
          <w:sz w:val="20"/>
          <w:szCs w:val="20"/>
          <w:color w:val="auto"/>
        </w:rPr>
      </w:pPr>
      <w:r>
        <w:rPr>
          <w:rFonts w:ascii="Arial" w:cs="Arial" w:eastAsia="Arial" w:hAnsi="Arial"/>
          <w:sz w:val="18"/>
          <w:szCs w:val="18"/>
          <w:color w:val="auto"/>
        </w:rPr>
        <w:t>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NYSE listing standards. See “Risk Factors—Risks Related to the ADSs and This Offering—As an exempted company incorporated in the Cayman Islands, we are permitted to adopt certain home country practices in relation to corporate governance matters that differ significantly from the corporate governance requirements of the New York Stock Exchange; these practices may afford less protection to shareholders than they would enjoy if we complied fully with the corporate governance requirements of the New York Stock Exchange.”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 of Being an Emerging Growth Company</w:t>
      </w:r>
    </w:p>
    <w:p>
      <w:pPr>
        <w:spacing w:after="0" w:line="234" w:lineRule="exact"/>
        <w:rPr>
          <w:sz w:val="20"/>
          <w:szCs w:val="20"/>
          <w:color w:val="auto"/>
        </w:rPr>
      </w:pPr>
    </w:p>
    <w:p>
      <w:pPr>
        <w:ind w:left="300" w:right="40" w:firstLine="532"/>
        <w:spacing w:after="0" w:line="236" w:lineRule="auto"/>
        <w:rPr>
          <w:sz w:val="20"/>
          <w:szCs w:val="20"/>
          <w:color w:val="auto"/>
        </w:rPr>
      </w:pPr>
      <w:r>
        <w:rPr>
          <w:rFonts w:ascii="Arial" w:cs="Arial" w:eastAsia="Arial" w:hAnsi="Arial"/>
          <w:sz w:val="18"/>
          <w:szCs w:val="18"/>
          <w:color w:val="auto"/>
        </w:rPr>
        <w:t>As a company with less than US$ 1.07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 As a result of this election, our financial statements may not be comparable to companies that comply with public company effective dates.</w:t>
      </w:r>
    </w:p>
    <w:p>
      <w:pPr>
        <w:spacing w:after="0" w:line="207" w:lineRule="exact"/>
        <w:rPr>
          <w:sz w:val="20"/>
          <w:szCs w:val="20"/>
          <w:color w:val="auto"/>
        </w:rPr>
      </w:pPr>
    </w:p>
    <w:p>
      <w:pPr>
        <w:ind w:left="300" w:right="80" w:firstLine="532"/>
        <w:spacing w:after="0" w:line="237" w:lineRule="auto"/>
        <w:rPr>
          <w:sz w:val="20"/>
          <w:szCs w:val="20"/>
          <w:color w:val="auto"/>
        </w:rPr>
      </w:pPr>
      <w:r>
        <w:rPr>
          <w:rFonts w:ascii="Arial" w:cs="Arial" w:eastAsia="Arial" w:hAnsi="Arial"/>
          <w:sz w:val="18"/>
          <w:szCs w:val="18"/>
          <w:color w:val="auto"/>
        </w:rPr>
        <w:t>We will remain an emerging growth company until the earliest of (a) the last day of the fiscal year during which we have total annual gross revenues of at least 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is at least US$700 million as of the last business day of our most recently completed second fiscal quarter. Once we cease to be an emerging growth company, we will not be entitled to the exemptions provided in the JOBS Act discussed above.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300" w:firstLine="532"/>
        <w:spacing w:after="0" w:line="239" w:lineRule="auto"/>
        <w:rPr>
          <w:sz w:val="20"/>
          <w:szCs w:val="20"/>
          <w:color w:val="auto"/>
        </w:rPr>
      </w:pPr>
      <w:r>
        <w:rPr>
          <w:rFonts w:ascii="Arial" w:cs="Arial" w:eastAsia="Arial" w:hAnsi="Arial"/>
          <w:sz w:val="18"/>
          <w:szCs w:val="18"/>
          <w:color w:val="auto"/>
        </w:rPr>
        <w:t>Our principal executive offices are located at 12</w:t>
      </w:r>
      <w:r>
        <w:rPr>
          <w:rFonts w:ascii="Arial" w:cs="Arial" w:eastAsia="Arial" w:hAnsi="Arial"/>
          <w:sz w:val="15"/>
          <w:szCs w:val="15"/>
          <w:color w:val="auto"/>
        </w:rPr>
        <w:t>th</w:t>
      </w:r>
      <w:r>
        <w:rPr>
          <w:rFonts w:ascii="Arial" w:cs="Arial" w:eastAsia="Arial" w:hAnsi="Arial"/>
          <w:sz w:val="18"/>
          <w:szCs w:val="18"/>
          <w:color w:val="auto"/>
        </w:rPr>
        <w:t xml:space="preserve"> Floor, No. 6 Building, 433 Songhu Road, Shanghai, the People’s Republic of China. Our telephone number at this address is +86 21 5290-7031. Our registered office in the Cayman Islands is located at the offices of Maples Corporate Services Limited, PO Box 309, Ugland House, Grand Cayman, KY1 -1104, Cayman Islands. Our agent for service of process in the United States is Cogency Global Inc., located at 122 East 42nd Street, 18th Floor, New York, NY 10168.</w:t>
      </w:r>
    </w:p>
    <w:p>
      <w:pPr>
        <w:spacing w:after="0" w:line="204" w:lineRule="exact"/>
        <w:rPr>
          <w:sz w:val="20"/>
          <w:szCs w:val="20"/>
          <w:color w:val="auto"/>
        </w:rPr>
      </w:pPr>
    </w:p>
    <w:p>
      <w:pPr>
        <w:ind w:left="300" w:right="20" w:firstLine="532"/>
        <w:spacing w:after="0" w:line="246" w:lineRule="auto"/>
        <w:rPr>
          <w:sz w:val="20"/>
          <w:szCs w:val="20"/>
          <w:color w:val="auto"/>
        </w:rPr>
      </w:pPr>
      <w:r>
        <w:rPr>
          <w:rFonts w:ascii="Arial" w:cs="Arial" w:eastAsia="Arial" w:hAnsi="Arial"/>
          <w:sz w:val="18"/>
          <w:szCs w:val="18"/>
          <w:color w:val="auto"/>
        </w:rPr>
        <w:t xml:space="preserve">Investors should submit any inquiries to the address and telephone number of our principal executive offices. Our main website is </w:t>
      </w:r>
      <w:r>
        <w:rPr>
          <w:rFonts w:ascii="Arial" w:cs="Arial" w:eastAsia="Arial" w:hAnsi="Arial"/>
          <w:sz w:val="18"/>
          <w:szCs w:val="18"/>
          <w:i w:val="1"/>
          <w:iCs w:val="1"/>
          <w:color w:val="auto"/>
        </w:rPr>
        <w:t>https://www.aihuishou.com</w:t>
      </w:r>
      <w:r>
        <w:rPr>
          <w:rFonts w:ascii="Arial" w:cs="Arial" w:eastAsia="Arial" w:hAnsi="Arial"/>
          <w:sz w:val="18"/>
          <w:szCs w:val="18"/>
          <w:color w:val="auto"/>
        </w:rPr>
        <w:t>.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420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or the context otherwise requires, references in this prospectus to:</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“ADRs” are to the American depositary receipts which may evidence the ADSs;</w:t>
      </w:r>
    </w:p>
    <w:p>
      <w:pPr>
        <w:spacing w:after="0" w:line="117" w:lineRule="exact"/>
        <w:rPr>
          <w:sz w:val="20"/>
          <w:szCs w:val="20"/>
          <w:color w:val="auto"/>
        </w:rPr>
      </w:pPr>
    </w:p>
    <w:p>
      <w:pPr>
        <w:ind w:left="820"/>
        <w:spacing w:after="0"/>
        <w:tabs>
          <w:tab w:leader="none" w:pos="7460" w:val="left"/>
        </w:tabs>
        <w:rPr>
          <w:sz w:val="20"/>
          <w:szCs w:val="20"/>
          <w:color w:val="auto"/>
        </w:rPr>
      </w:pPr>
      <w:r>
        <w:rPr>
          <w:rFonts w:ascii="Arial" w:cs="Arial" w:eastAsia="Arial" w:hAnsi="Arial"/>
          <w:sz w:val="18"/>
          <w:szCs w:val="18"/>
          <w:color w:val="auto"/>
        </w:rPr>
        <w:t>•  “ADSs” are to the American depositary shares, each of which represents</w:t>
      </w:r>
      <w:r>
        <w:rPr>
          <w:sz w:val="20"/>
          <w:szCs w:val="20"/>
          <w:color w:val="auto"/>
        </w:rPr>
        <w:tab/>
      </w:r>
      <w:r>
        <w:rPr>
          <w:rFonts w:ascii="Arial" w:cs="Arial" w:eastAsia="Arial" w:hAnsi="Arial"/>
          <w:sz w:val="17"/>
          <w:szCs w:val="17"/>
          <w:color w:val="auto"/>
        </w:rPr>
        <w:t>Class A ordinary shares;</w:t>
      </w:r>
    </w:p>
    <w:p>
      <w:pPr>
        <w:spacing w:after="0" w:line="117" w:lineRule="exact"/>
        <w:rPr>
          <w:sz w:val="20"/>
          <w:szCs w:val="20"/>
          <w:color w:val="auto"/>
        </w:rPr>
      </w:pPr>
    </w:p>
    <w:p>
      <w:pPr>
        <w:ind w:left="1020" w:right="300" w:hanging="195"/>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“AHS,” “we,” “us,” “our company” and “our” are to AiHuiShou International Co. Ltd., our Cayman Islands holding company and its subsidiaries;</w:t>
      </w:r>
    </w:p>
    <w:p>
      <w:pPr>
        <w:spacing w:after="0" w:line="102" w:lineRule="exact"/>
        <w:rPr>
          <w:rFonts w:ascii="Arial" w:cs="Arial" w:eastAsia="Arial" w:hAnsi="Arial"/>
          <w:sz w:val="18"/>
          <w:szCs w:val="18"/>
          <w:color w:val="auto"/>
        </w:rPr>
      </w:pPr>
    </w:p>
    <w:p>
      <w:pPr>
        <w:ind w:left="1020" w:right="500" w:hanging="195"/>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“China” and the “PRC” are to the People’s Republic of China, excluding, for the purposes of this prospectus only, Hong Kong, Macau and Taiwan;</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 A ordinary shares” are to our Class A ordinary shares, par value US$0.001 per share;</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 B ordinary shares” are to our Class B ordinary shares, par value US$0.001 per share;</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 C ordinary shares” are to our Class C ordinary shares, par value US$0.001 per share;</w:t>
      </w:r>
    </w:p>
    <w:p>
      <w:pPr>
        <w:spacing w:after="0" w:line="117" w:lineRule="exact"/>
        <w:rPr>
          <w:rFonts w:ascii="Arial" w:cs="Arial" w:eastAsia="Arial" w:hAnsi="Arial"/>
          <w:sz w:val="18"/>
          <w:szCs w:val="18"/>
          <w:color w:val="auto"/>
        </w:rPr>
      </w:pPr>
    </w:p>
    <w:p>
      <w:pPr>
        <w:ind w:left="1020" w:right="860" w:hanging="195"/>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“executed transaction price” are to the transaction price that is not net of any coupons offered to the buyers on our marketplaces;</w:t>
      </w:r>
    </w:p>
    <w:p>
      <w:pPr>
        <w:spacing w:after="0" w:line="102" w:lineRule="exact"/>
        <w:rPr>
          <w:rFonts w:ascii="Arial" w:cs="Arial" w:eastAsia="Arial" w:hAnsi="Arial"/>
          <w:sz w:val="18"/>
          <w:szCs w:val="18"/>
          <w:color w:val="auto"/>
        </w:rPr>
      </w:pPr>
    </w:p>
    <w:p>
      <w:pPr>
        <w:ind w:left="1020" w:right="80" w:hanging="195"/>
        <w:spacing w:after="0" w:line="255"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“GMV” are to the total dollar value of goods distributed to merchants and consumers through transactions on our platform in a given period for which payments have been made, prior to returns and cancellations, excluding shipping cost but including sales tax; total GMV consists of GMV for product sales and GMV for online marketplaces GMV for product sales measures the GMV from sales of phones and other consumer electronic goods through our platform; GMV for online marketplaces measures the GMV from third-party merchants and/or consumers participating in our PJT and Paipai marketplaces;</w:t>
      </w:r>
    </w:p>
    <w:p>
      <w:pPr>
        <w:spacing w:after="0" w:line="95" w:lineRule="exact"/>
        <w:rPr>
          <w:rFonts w:ascii="Arial" w:cs="Arial" w:eastAsia="Arial" w:hAnsi="Arial"/>
          <w:sz w:val="17"/>
          <w:szCs w:val="17"/>
          <w:color w:val="auto"/>
        </w:rPr>
      </w:pPr>
    </w:p>
    <w:p>
      <w:pPr>
        <w:ind w:left="1020" w:right="20" w:hanging="195"/>
        <w:spacing w:after="0" w:line="23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consumer products transacted” are to the number of consumer products distributed to merchants and consumers through transactions on our PJT Marketplace, Paipai Marketplace and other channels we operate in a given period, prior to returns and cancellations, excluding the number of consumer products collected through AHS Recycle; a single consumer product may be counted more than once according to the number of times it is transacted on PJT Marketplace, Paipai Marketplace and other channels we operate through the distribution process to end consumer;</w:t>
      </w:r>
    </w:p>
    <w:p>
      <w:pPr>
        <w:spacing w:after="0" w:line="107" w:lineRule="exact"/>
        <w:rPr>
          <w:rFonts w:ascii="Arial" w:cs="Arial" w:eastAsia="Arial" w:hAnsi="Arial"/>
          <w:sz w:val="18"/>
          <w:szCs w:val="18"/>
          <w:color w:val="auto"/>
        </w:rPr>
      </w:pPr>
    </w:p>
    <w:p>
      <w:pPr>
        <w:ind w:left="1020" w:right="16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“ordinary shares” are to our ordinary shares, par value US$0.001 per share, and upon and after the completion of this offering, are to our Class A ordinary shares, Class B ordinary shares and Class C ordinary shares, par value US$0.001 per share;</w:t>
      </w:r>
    </w:p>
    <w:p>
      <w:pPr>
        <w:spacing w:after="0" w:line="108" w:lineRule="exact"/>
        <w:rPr>
          <w:rFonts w:ascii="Arial" w:cs="Arial" w:eastAsia="Arial" w:hAnsi="Arial"/>
          <w:sz w:val="18"/>
          <w:szCs w:val="18"/>
          <w:color w:val="auto"/>
        </w:rPr>
      </w:pPr>
    </w:p>
    <w:p>
      <w:pPr>
        <w:ind w:left="1020" w:right="20" w:hanging="195"/>
        <w:spacing w:after="0" w:line="246"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platform” are to our overall business operations, including AHS Recycle, PJT Marketplace, Paipai Marketplace and AHS Device and other channels we operate;</w:t>
      </w:r>
    </w:p>
    <w:p>
      <w:pPr>
        <w:spacing w:after="0" w:line="102"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“U.S. dollars,” “$,” and “dollars” are to the legal currency of the United States; and</w:t>
      </w:r>
    </w:p>
    <w:p>
      <w:pPr>
        <w:spacing w:after="0" w:line="117" w:lineRule="exact"/>
        <w:rPr>
          <w:rFonts w:ascii="Arial" w:cs="Arial" w:eastAsia="Arial" w:hAnsi="Arial"/>
          <w:sz w:val="18"/>
          <w:szCs w:val="18"/>
          <w:color w:val="auto"/>
        </w:rPr>
      </w:pPr>
    </w:p>
    <w:p>
      <w:pPr>
        <w:ind w:left="1020" w:right="60" w:hanging="195"/>
        <w:spacing w:after="0" w:line="216" w:lineRule="exact"/>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“VIEs” are to Shanghai Wanwuxinsheng Environmental Protection Technology Group Co., Ltd. (formerly known as Shanghai Yueyee Network Information Technology Co., Ltd. (</w:t>
      </w:r>
      <w:r>
        <w:rPr>
          <w:rFonts w:ascii="SimSun" w:cs="SimSun" w:eastAsia="SimSun" w:hAnsi="SimSun"/>
          <w:sz w:val="16"/>
          <w:szCs w:val="16"/>
          <w:color w:val="auto"/>
        </w:rPr>
        <w:t>上海悦易网络信息技术有限公司</w:t>
      </w:r>
      <w:r>
        <w:rPr>
          <w:rFonts w:ascii="Arial" w:cs="Arial" w:eastAsia="Arial" w:hAnsi="Arial"/>
          <w:sz w:val="18"/>
          <w:szCs w:val="18"/>
          <w:color w:val="auto"/>
        </w:rPr>
        <w:t>)) and Shenzhen Lvchuang Network Technology Co., Ltd.; and</w:t>
      </w:r>
    </w:p>
    <w:p>
      <w:pPr>
        <w:spacing w:after="0" w:line="109" w:lineRule="exact"/>
        <w:rPr>
          <w:rFonts w:ascii="Arial" w:cs="Arial" w:eastAsia="Arial" w:hAnsi="Arial"/>
          <w:sz w:val="18"/>
          <w:szCs w:val="18"/>
          <w:color w:val="auto"/>
        </w:rPr>
      </w:pPr>
    </w:p>
    <w:p>
      <w:pPr>
        <w:ind w:left="1020" w:hanging="195"/>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“WFOE” are to Shanghai Aihui Trading Co., Ltd.</w:t>
      </w:r>
    </w:p>
    <w:p>
      <w:pPr>
        <w:spacing w:after="0" w:line="212" w:lineRule="exact"/>
        <w:rPr>
          <w:sz w:val="20"/>
          <w:szCs w:val="20"/>
          <w:color w:val="auto"/>
        </w:rPr>
      </w:pPr>
    </w:p>
    <w:p>
      <w:pPr>
        <w:ind w:left="300" w:firstLine="532"/>
        <w:spacing w:after="0" w:line="246" w:lineRule="auto"/>
        <w:rPr>
          <w:sz w:val="20"/>
          <w:szCs w:val="20"/>
          <w:color w:val="auto"/>
        </w:rPr>
      </w:pPr>
      <w:r>
        <w:rPr>
          <w:rFonts w:ascii="Arial" w:cs="Arial" w:eastAsia="Arial" w:hAnsi="Arial"/>
          <w:sz w:val="18"/>
          <w:szCs w:val="18"/>
          <w:color w:val="auto"/>
        </w:rPr>
        <w:t>Unless the context indicates otherwise, all information in this prospectus assumes no exercise by the underwriters of their over-allotment option. Unless otherwise noted, all translations from Renminbi 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29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9296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spacing w:after="0" w:line="238" w:lineRule="auto"/>
        <w:rPr>
          <w:sz w:val="20"/>
          <w:szCs w:val="20"/>
          <w:color w:val="auto"/>
        </w:rPr>
      </w:pPr>
      <w:r>
        <w:rPr>
          <w:rFonts w:ascii="Arial" w:cs="Arial" w:eastAsia="Arial" w:hAnsi="Arial"/>
          <w:sz w:val="18"/>
          <w:szCs w:val="18"/>
          <w:color w:val="auto"/>
        </w:rPr>
        <w:t>U.S. dollars and from U.S. dollars to Renminbi in this prospectus are made at a rate of RMB6.5518 to US$1.00, the exchange rate in effect as of March 31, 2021,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 On May 21, 2021, the exchange rate for Renminbi was RMB6.4339 to US$1.00.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762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2762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40"/>
          </w:cols>
          <w:pgMar w:left="320" w:top="459" w:right="639" w:bottom="1440" w:gutter="0" w:footer="0" w:header="0"/>
        </w:sectPr>
      </w:pP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Offering price</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ADSs offered by us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ADSs outstanding immediately after this offering</w:t>
      </w:r>
    </w:p>
    <w:p>
      <w:pPr>
        <w:spacing w:after="0" w:line="200" w:lineRule="exact"/>
        <w:rPr>
          <w:sz w:val="20"/>
          <w:szCs w:val="20"/>
          <w:color w:val="auto"/>
        </w:rPr>
      </w:pPr>
    </w:p>
    <w:p>
      <w:pPr>
        <w:spacing w:after="0" w:line="241" w:lineRule="exact"/>
        <w:rPr>
          <w:sz w:val="20"/>
          <w:szCs w:val="20"/>
          <w:color w:val="auto"/>
        </w:rPr>
      </w:pPr>
    </w:p>
    <w:p>
      <w:pPr>
        <w:ind w:left="400" w:hanging="107"/>
        <w:spacing w:after="0" w:line="246" w:lineRule="auto"/>
        <w:rPr>
          <w:sz w:val="20"/>
          <w:szCs w:val="20"/>
          <w:color w:val="auto"/>
        </w:rPr>
      </w:pPr>
      <w:r>
        <w:rPr>
          <w:rFonts w:ascii="Arial" w:cs="Arial" w:eastAsia="Arial" w:hAnsi="Arial"/>
          <w:sz w:val="18"/>
          <w:szCs w:val="18"/>
          <w:color w:val="auto"/>
        </w:rPr>
        <w:t>Ordinary shares issued and outstanding immediately after this offering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the initial public offering price will be between</w:t>
      </w:r>
    </w:p>
    <w:p>
      <w:pPr>
        <w:spacing w:after="0"/>
        <w:tabs>
          <w:tab w:leader="none" w:pos="980" w:val="left"/>
          <w:tab w:leader="none" w:pos="234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and US$</w:t>
      </w:r>
      <w:r>
        <w:rPr>
          <w:sz w:val="20"/>
          <w:szCs w:val="20"/>
          <w:color w:val="auto"/>
        </w:rPr>
        <w:tab/>
      </w:r>
      <w:r>
        <w:rPr>
          <w:rFonts w:ascii="Arial" w:cs="Arial" w:eastAsia="Arial" w:hAnsi="Arial"/>
          <w:sz w:val="17"/>
          <w:szCs w:val="17"/>
          <w:color w:val="auto"/>
        </w:rPr>
        <w:t>per ADS.</w:t>
      </w:r>
    </w:p>
    <w:p>
      <w:pPr>
        <w:spacing w:after="0" w:line="234"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8"/>
          <w:szCs w:val="18"/>
          <w:color w:val="auto"/>
        </w:rPr>
        <w:t>ADSs (or</w:t>
      </w:r>
      <w:r>
        <w:rPr>
          <w:sz w:val="20"/>
          <w:szCs w:val="20"/>
          <w:color w:val="auto"/>
        </w:rPr>
        <w:tab/>
      </w:r>
      <w:r>
        <w:rPr>
          <w:rFonts w:ascii="Arial" w:cs="Arial" w:eastAsia="Arial" w:hAnsi="Arial"/>
          <w:sz w:val="17"/>
          <w:szCs w:val="17"/>
          <w:color w:val="auto"/>
        </w:rPr>
        <w:t>ADSs if the underwriters exercise their</w:t>
      </w:r>
    </w:p>
    <w:p>
      <w:pPr>
        <w:spacing w:after="0"/>
        <w:rPr>
          <w:sz w:val="20"/>
          <w:szCs w:val="20"/>
          <w:color w:val="auto"/>
        </w:rPr>
      </w:pPr>
      <w:r>
        <w:rPr>
          <w:rFonts w:ascii="Arial" w:cs="Arial" w:eastAsia="Arial" w:hAnsi="Arial"/>
          <w:sz w:val="18"/>
          <w:szCs w:val="18"/>
          <w:color w:val="auto"/>
        </w:rPr>
        <w:t>over-allotment option in full).</w:t>
      </w:r>
    </w:p>
    <w:p>
      <w:pPr>
        <w:spacing w:after="0" w:line="234"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8"/>
          <w:szCs w:val="18"/>
          <w:color w:val="auto"/>
        </w:rPr>
        <w:t>ADSs (or</w:t>
      </w:r>
      <w:r>
        <w:rPr>
          <w:sz w:val="20"/>
          <w:szCs w:val="20"/>
          <w:color w:val="auto"/>
        </w:rPr>
        <w:tab/>
      </w:r>
      <w:r>
        <w:rPr>
          <w:rFonts w:ascii="Arial" w:cs="Arial" w:eastAsia="Arial" w:hAnsi="Arial"/>
          <w:sz w:val="17"/>
          <w:szCs w:val="17"/>
          <w:color w:val="auto"/>
        </w:rPr>
        <w:t>ADSs if the underwriters exercise their</w:t>
      </w:r>
    </w:p>
    <w:p>
      <w:pPr>
        <w:spacing w:after="0"/>
        <w:rPr>
          <w:sz w:val="20"/>
          <w:szCs w:val="20"/>
          <w:color w:val="auto"/>
        </w:rPr>
      </w:pPr>
      <w:r>
        <w:rPr>
          <w:rFonts w:ascii="Arial" w:cs="Arial" w:eastAsia="Arial" w:hAnsi="Arial"/>
          <w:sz w:val="18"/>
          <w:szCs w:val="18"/>
          <w:color w:val="auto"/>
        </w:rPr>
        <w:t>over-allotment option in full).</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a triple-class ordinary share structure. There</w:t>
      </w:r>
    </w:p>
    <w:p>
      <w:pPr>
        <w:spacing w:after="0"/>
        <w:tabs>
          <w:tab w:leader="none" w:pos="1880" w:val="left"/>
        </w:tabs>
        <w:rPr>
          <w:sz w:val="20"/>
          <w:szCs w:val="20"/>
          <w:color w:val="auto"/>
        </w:rPr>
      </w:pPr>
      <w:r>
        <w:rPr>
          <w:rFonts w:ascii="Arial" w:cs="Arial" w:eastAsia="Arial" w:hAnsi="Arial"/>
          <w:sz w:val="18"/>
          <w:szCs w:val="18"/>
          <w:color w:val="auto"/>
        </w:rPr>
        <w:t>will be a total of</w:t>
      </w:r>
      <w:r>
        <w:rPr>
          <w:sz w:val="20"/>
          <w:szCs w:val="20"/>
          <w:color w:val="auto"/>
        </w:rPr>
        <w:tab/>
      </w:r>
      <w:r>
        <w:rPr>
          <w:rFonts w:ascii="Arial" w:cs="Arial" w:eastAsia="Arial" w:hAnsi="Arial"/>
          <w:sz w:val="17"/>
          <w:szCs w:val="17"/>
          <w:color w:val="auto"/>
        </w:rPr>
        <w:t>ordinary shares, comprised of</w:t>
      </w:r>
    </w:p>
    <w:p>
      <w:pPr>
        <w:ind w:left="600"/>
        <w:spacing w:after="0"/>
        <w:tabs>
          <w:tab w:leader="none" w:pos="3180" w:val="left"/>
        </w:tabs>
        <w:rPr>
          <w:sz w:val="20"/>
          <w:szCs w:val="20"/>
          <w:color w:val="auto"/>
        </w:rPr>
      </w:pPr>
      <w:r>
        <w:rPr>
          <w:rFonts w:ascii="Arial" w:cs="Arial" w:eastAsia="Arial" w:hAnsi="Arial"/>
          <w:sz w:val="18"/>
          <w:szCs w:val="18"/>
          <w:color w:val="auto"/>
        </w:rPr>
        <w:t>Class A ordinary shares,</w:t>
      </w:r>
      <w:r>
        <w:rPr>
          <w:sz w:val="20"/>
          <w:szCs w:val="20"/>
          <w:color w:val="auto"/>
        </w:rPr>
        <w:tab/>
      </w:r>
      <w:r>
        <w:rPr>
          <w:rFonts w:ascii="Arial" w:cs="Arial" w:eastAsia="Arial" w:hAnsi="Arial"/>
          <w:sz w:val="17"/>
          <w:szCs w:val="17"/>
          <w:color w:val="auto"/>
        </w:rPr>
        <w:t>Class B ordinary</w:t>
      </w:r>
    </w:p>
    <w:p>
      <w:pPr>
        <w:spacing w:after="0" w:line="235" w:lineRule="auto"/>
        <w:tabs>
          <w:tab w:leader="none" w:pos="1580" w:val="left"/>
          <w:tab w:leader="none" w:pos="4400" w:val="left"/>
        </w:tabs>
        <w:rPr>
          <w:sz w:val="20"/>
          <w:szCs w:val="20"/>
          <w:color w:val="auto"/>
        </w:rPr>
      </w:pPr>
      <w:r>
        <w:rPr>
          <w:rFonts w:ascii="Arial" w:cs="Arial" w:eastAsia="Arial" w:hAnsi="Arial"/>
          <w:sz w:val="18"/>
          <w:szCs w:val="18"/>
          <w:color w:val="auto"/>
        </w:rPr>
        <w:t>shares and</w:t>
      </w:r>
      <w:r>
        <w:rPr>
          <w:sz w:val="20"/>
          <w:szCs w:val="20"/>
          <w:color w:val="auto"/>
        </w:rPr>
        <w:tab/>
      </w:r>
      <w:r>
        <w:rPr>
          <w:rFonts w:ascii="Arial" w:cs="Arial" w:eastAsia="Arial" w:hAnsi="Arial"/>
          <w:sz w:val="18"/>
          <w:szCs w:val="18"/>
          <w:color w:val="auto"/>
        </w:rPr>
        <w:t>Class C ordinary shares (or</w:t>
      </w:r>
      <w:r>
        <w:rPr>
          <w:sz w:val="20"/>
          <w:szCs w:val="20"/>
          <w:color w:val="auto"/>
        </w:rPr>
        <w:tab/>
      </w:r>
      <w:r>
        <w:rPr>
          <w:rFonts w:ascii="Arial" w:cs="Arial" w:eastAsia="Arial" w:hAnsi="Arial"/>
          <w:sz w:val="18"/>
          <w:szCs w:val="18"/>
          <w:color w:val="auto"/>
        </w:rPr>
        <w:t>ordinary</w:t>
      </w:r>
    </w:p>
    <w:p>
      <w:pPr>
        <w:spacing w:after="0" w:line="235" w:lineRule="auto"/>
        <w:rPr>
          <w:sz w:val="20"/>
          <w:szCs w:val="20"/>
          <w:color w:val="auto"/>
        </w:rPr>
      </w:pPr>
      <w:r>
        <w:rPr>
          <w:rFonts w:ascii="Arial" w:cs="Arial" w:eastAsia="Arial" w:hAnsi="Arial"/>
          <w:sz w:val="18"/>
          <w:szCs w:val="18"/>
          <w:color w:val="auto"/>
        </w:rPr>
        <w:t>shares if the underwriters exercise their over-allotment option in</w:t>
      </w:r>
    </w:p>
    <w:p>
      <w:pPr>
        <w:spacing w:after="0"/>
        <w:tabs>
          <w:tab w:leader="none" w:pos="2040" w:val="left"/>
          <w:tab w:leader="none" w:pos="4640" w:val="left"/>
        </w:tabs>
        <w:rPr>
          <w:sz w:val="20"/>
          <w:szCs w:val="20"/>
          <w:color w:val="auto"/>
        </w:rPr>
      </w:pPr>
      <w:r>
        <w:rPr>
          <w:rFonts w:ascii="Arial" w:cs="Arial" w:eastAsia="Arial" w:hAnsi="Arial"/>
          <w:sz w:val="18"/>
          <w:szCs w:val="18"/>
          <w:color w:val="auto"/>
        </w:rPr>
        <w:t>full, comprised of</w:t>
      </w:r>
      <w:r>
        <w:rPr>
          <w:sz w:val="20"/>
          <w:szCs w:val="20"/>
          <w:color w:val="auto"/>
        </w:rPr>
        <w:tab/>
      </w:r>
      <w:r>
        <w:rPr>
          <w:rFonts w:ascii="Arial" w:cs="Arial" w:eastAsia="Arial" w:hAnsi="Arial"/>
          <w:sz w:val="18"/>
          <w:szCs w:val="18"/>
          <w:color w:val="auto"/>
        </w:rPr>
        <w:t>Class A ordinary shares,</w:t>
      </w:r>
      <w:r>
        <w:rPr>
          <w:sz w:val="20"/>
          <w:szCs w:val="20"/>
          <w:color w:val="auto"/>
        </w:rPr>
        <w:tab/>
      </w:r>
      <w:r>
        <w:rPr>
          <w:rFonts w:ascii="Arial" w:cs="Arial" w:eastAsia="Arial" w:hAnsi="Arial"/>
          <w:sz w:val="17"/>
          <w:szCs w:val="17"/>
          <w:color w:val="auto"/>
        </w:rPr>
        <w:t>Class</w:t>
      </w:r>
    </w:p>
    <w:p>
      <w:pPr>
        <w:spacing w:after="0"/>
        <w:tabs>
          <w:tab w:leader="none" w:pos="2400" w:val="left"/>
        </w:tabs>
        <w:rPr>
          <w:sz w:val="20"/>
          <w:szCs w:val="20"/>
          <w:color w:val="auto"/>
        </w:rPr>
      </w:pPr>
      <w:r>
        <w:rPr>
          <w:rFonts w:ascii="Arial" w:cs="Arial" w:eastAsia="Arial" w:hAnsi="Arial"/>
          <w:sz w:val="18"/>
          <w:szCs w:val="18"/>
          <w:color w:val="auto"/>
        </w:rPr>
        <w:t>B ordinary shares and</w:t>
      </w:r>
      <w:r>
        <w:rPr>
          <w:sz w:val="20"/>
          <w:szCs w:val="20"/>
          <w:color w:val="auto"/>
        </w:rPr>
        <w:tab/>
      </w:r>
      <w:r>
        <w:rPr>
          <w:rFonts w:ascii="Arial" w:cs="Arial" w:eastAsia="Arial" w:hAnsi="Arial"/>
          <w:sz w:val="17"/>
          <w:szCs w:val="17"/>
          <w:color w:val="auto"/>
        </w:rPr>
        <w:t>Class C ordinary shares). Holders</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of Class A ordinary shares, Class B ordinary shares and Class C ordinary shares have the same rights other than voting and conversion rights. Each holder of Class A ordinary shares is entitled to one vote per share, each holder of Class B ordinary shares is entitled to three votes per share and each holder of Class C ordinary shares is entitled to fifteen votes per share on all matters submitted to them for a vote. Our Class A ordinary shares, Class B ordinary shares and Class C ordinary shares vote together as a single class on all matters submitted to a vote of our shareholders, except as may otherwise be required by law. Each of the Class B ordinary shares and Class C ordinary shares is convertible into one Class A ordinary share, whereas Class A ordinary shares are not convertible into Class B ordinary shares or Class C ordinary shares under any circumstances. Class B Ordinary Shares are not convertible into Class C Ordinary Shares, and vice versa. Class B ordinary shares issued and outstanding immediately after the completion</w:t>
      </w:r>
    </w:p>
    <w:p>
      <w:pPr>
        <w:spacing w:after="0" w:line="7"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of this offering will represent</w:t>
      </w:r>
      <w:r>
        <w:rPr>
          <w:sz w:val="20"/>
          <w:szCs w:val="20"/>
          <w:color w:val="auto"/>
        </w:rPr>
        <w:tab/>
      </w:r>
      <w:r>
        <w:rPr>
          <w:rFonts w:ascii="Arial" w:cs="Arial" w:eastAsia="Arial" w:hAnsi="Arial"/>
          <w:sz w:val="17"/>
          <w:szCs w:val="17"/>
          <w:color w:val="auto"/>
        </w:rPr>
        <w:t>% of our total issued and</w:t>
      </w:r>
    </w:p>
    <w:p>
      <w:pPr>
        <w:spacing w:after="0"/>
        <w:tabs>
          <w:tab w:leader="none" w:pos="2500" w:val="left"/>
        </w:tabs>
        <w:rPr>
          <w:sz w:val="20"/>
          <w:szCs w:val="20"/>
          <w:color w:val="auto"/>
        </w:rPr>
      </w:pPr>
      <w:r>
        <w:rPr>
          <w:rFonts w:ascii="Arial" w:cs="Arial" w:eastAsia="Arial" w:hAnsi="Arial"/>
          <w:sz w:val="18"/>
          <w:szCs w:val="18"/>
          <w:color w:val="auto"/>
        </w:rPr>
        <w:t>outstanding shares and</w:t>
      </w:r>
      <w:r>
        <w:rPr>
          <w:sz w:val="20"/>
          <w:szCs w:val="20"/>
          <w:color w:val="auto"/>
        </w:rPr>
        <w:tab/>
      </w:r>
      <w:r>
        <w:rPr>
          <w:rFonts w:ascii="Arial" w:cs="Arial" w:eastAsia="Arial" w:hAnsi="Arial"/>
          <w:sz w:val="17"/>
          <w:szCs w:val="17"/>
          <w:color w:val="auto"/>
        </w:rPr>
        <w:t>% of the then total voting power</w:t>
      </w:r>
    </w:p>
    <w:p>
      <w:pPr>
        <w:spacing w:after="0" w:line="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(or</w:t>
      </w:r>
      <w:r>
        <w:rPr>
          <w:sz w:val="20"/>
          <w:szCs w:val="20"/>
          <w:color w:val="auto"/>
        </w:rPr>
        <w:tab/>
      </w:r>
      <w:r>
        <w:rPr>
          <w:rFonts w:ascii="Arial" w:cs="Arial" w:eastAsia="Arial" w:hAnsi="Arial"/>
          <w:sz w:val="18"/>
          <w:szCs w:val="18"/>
          <w:color w:val="auto"/>
        </w:rPr>
        <w:t>% of our total issued and</w:t>
      </w:r>
    </w:p>
    <w:p>
      <w:pPr>
        <w:spacing w:after="0" w:line="200" w:lineRule="exact"/>
        <w:rPr>
          <w:sz w:val="20"/>
          <w:szCs w:val="20"/>
          <w:color w:val="auto"/>
        </w:rPr>
      </w:pPr>
    </w:p>
    <w:p>
      <w:pPr>
        <w:sectPr>
          <w:pgSz w:w="11900" w:h="16838" w:orient="portrait"/>
          <w:cols w:equalWidth="0" w:num="2">
            <w:col w:w="5240" w:space="580"/>
            <w:col w:w="5120"/>
          </w:cols>
          <w:pgMar w:left="320" w:top="459" w:right="6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940"/>
          </w:cols>
          <w:pgMar w:left="320" w:top="459" w:right="6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4600" w:type="dxa"/>
            <w:vAlign w:val="bottom"/>
          </w:tcPr>
          <w:p>
            <w:pPr>
              <w:ind w:left="2340"/>
              <w:spacing w:after="0"/>
              <w:rPr>
                <w:sz w:val="20"/>
                <w:szCs w:val="20"/>
                <w:color w:val="auto"/>
              </w:rPr>
            </w:pPr>
            <w:r>
              <w:rPr>
                <w:rFonts w:ascii="Arial" w:cs="Arial" w:eastAsia="Arial" w:hAnsi="Arial"/>
                <w:sz w:val="18"/>
                <w:szCs w:val="18"/>
                <w:color w:val="auto"/>
              </w:rPr>
              <w:t>outstanding shares and</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w w:val="99"/>
              </w:rPr>
              <w:t>% of the then total voting power</w:t>
            </w:r>
          </w:p>
        </w:tc>
      </w:tr>
      <w:tr>
        <w:trPr>
          <w:trHeight w:val="203"/>
        </w:trPr>
        <w:tc>
          <w:tcPr>
            <w:tcW w:w="3180" w:type="dxa"/>
            <w:vAlign w:val="bottom"/>
          </w:tcPr>
          <w:p>
            <w:pPr>
              <w:spacing w:after="0"/>
              <w:rPr>
                <w:sz w:val="17"/>
                <w:szCs w:val="17"/>
                <w:color w:val="auto"/>
              </w:rPr>
            </w:pPr>
          </w:p>
        </w:tc>
        <w:tc>
          <w:tcPr>
            <w:tcW w:w="7380" w:type="dxa"/>
            <w:vAlign w:val="bottom"/>
            <w:gridSpan w:val="3"/>
          </w:tcPr>
          <w:p>
            <w:pPr>
              <w:ind w:left="2340"/>
              <w:spacing w:after="0" w:line="202" w:lineRule="exact"/>
              <w:rPr>
                <w:sz w:val="20"/>
                <w:szCs w:val="20"/>
                <w:color w:val="auto"/>
              </w:rPr>
            </w:pPr>
            <w:r>
              <w:rPr>
                <w:rFonts w:ascii="Arial" w:cs="Arial" w:eastAsia="Arial" w:hAnsi="Arial"/>
                <w:sz w:val="18"/>
                <w:szCs w:val="18"/>
                <w:color w:val="auto"/>
              </w:rPr>
              <w:t>if the underwriters exercise their over-allotment option in full).</w:t>
            </w:r>
          </w:p>
        </w:tc>
      </w:tr>
      <w:tr>
        <w:trPr>
          <w:trHeight w:val="203"/>
        </w:trPr>
        <w:tc>
          <w:tcPr>
            <w:tcW w:w="3180" w:type="dxa"/>
            <w:vAlign w:val="bottom"/>
          </w:tcPr>
          <w:p>
            <w:pPr>
              <w:spacing w:after="0"/>
              <w:rPr>
                <w:sz w:val="17"/>
                <w:szCs w:val="17"/>
                <w:color w:val="auto"/>
              </w:rPr>
            </w:pPr>
          </w:p>
        </w:tc>
        <w:tc>
          <w:tcPr>
            <w:tcW w:w="7380" w:type="dxa"/>
            <w:vAlign w:val="bottom"/>
            <w:gridSpan w:val="3"/>
          </w:tcPr>
          <w:p>
            <w:pPr>
              <w:ind w:left="2340"/>
              <w:spacing w:after="0" w:line="202" w:lineRule="exact"/>
              <w:rPr>
                <w:sz w:val="20"/>
                <w:szCs w:val="20"/>
                <w:color w:val="auto"/>
              </w:rPr>
            </w:pPr>
            <w:r>
              <w:rPr>
                <w:rFonts w:ascii="Arial" w:cs="Arial" w:eastAsia="Arial" w:hAnsi="Arial"/>
                <w:sz w:val="18"/>
                <w:szCs w:val="18"/>
                <w:color w:val="auto"/>
              </w:rPr>
              <w:t>Class C ordinary shares issued and outstanding immediately</w:t>
            </w:r>
          </w:p>
        </w:tc>
      </w:tr>
      <w:tr>
        <w:trPr>
          <w:trHeight w:val="203"/>
        </w:trPr>
        <w:tc>
          <w:tcPr>
            <w:tcW w:w="3180" w:type="dxa"/>
            <w:vAlign w:val="bottom"/>
          </w:tcPr>
          <w:p>
            <w:pPr>
              <w:spacing w:after="0"/>
              <w:rPr>
                <w:sz w:val="17"/>
                <w:szCs w:val="17"/>
                <w:color w:val="auto"/>
              </w:rPr>
            </w:pPr>
          </w:p>
        </w:tc>
        <w:tc>
          <w:tcPr>
            <w:tcW w:w="6340" w:type="dxa"/>
            <w:vAlign w:val="bottom"/>
            <w:gridSpan w:val="2"/>
          </w:tcPr>
          <w:p>
            <w:pPr>
              <w:ind w:left="2340"/>
              <w:spacing w:after="0" w:line="202" w:lineRule="exact"/>
              <w:rPr>
                <w:sz w:val="20"/>
                <w:szCs w:val="20"/>
                <w:color w:val="auto"/>
              </w:rPr>
            </w:pPr>
            <w:r>
              <w:rPr>
                <w:rFonts w:ascii="Arial" w:cs="Arial" w:eastAsia="Arial" w:hAnsi="Arial"/>
                <w:sz w:val="18"/>
                <w:szCs w:val="18"/>
                <w:color w:val="auto"/>
              </w:rPr>
              <w:t>after the completion of this offering will represent</w:t>
            </w:r>
          </w:p>
        </w:tc>
        <w:tc>
          <w:tcPr>
            <w:tcW w:w="1040" w:type="dxa"/>
            <w:vAlign w:val="bottom"/>
          </w:tcPr>
          <w:p>
            <w:pPr>
              <w:ind w:left="520"/>
              <w:spacing w:after="0" w:line="202" w:lineRule="exact"/>
              <w:rPr>
                <w:sz w:val="20"/>
                <w:szCs w:val="20"/>
                <w:color w:val="auto"/>
              </w:rPr>
            </w:pPr>
            <w:r>
              <w:rPr>
                <w:rFonts w:ascii="Arial" w:cs="Arial" w:eastAsia="Arial" w:hAnsi="Arial"/>
                <w:sz w:val="18"/>
                <w:szCs w:val="18"/>
                <w:color w:val="auto"/>
              </w:rPr>
              <w:t>% of</w:t>
            </w:r>
          </w:p>
        </w:tc>
      </w:tr>
      <w:tr>
        <w:trPr>
          <w:trHeight w:val="203"/>
        </w:trPr>
        <w:tc>
          <w:tcPr>
            <w:tcW w:w="3180" w:type="dxa"/>
            <w:vAlign w:val="bottom"/>
          </w:tcPr>
          <w:p>
            <w:pPr>
              <w:spacing w:after="0"/>
              <w:rPr>
                <w:sz w:val="17"/>
                <w:szCs w:val="17"/>
                <w:color w:val="auto"/>
              </w:rPr>
            </w:pPr>
          </w:p>
        </w:tc>
        <w:tc>
          <w:tcPr>
            <w:tcW w:w="6340" w:type="dxa"/>
            <w:vAlign w:val="bottom"/>
            <w:gridSpan w:val="2"/>
          </w:tcPr>
          <w:p>
            <w:pPr>
              <w:ind w:left="2340"/>
              <w:spacing w:after="0" w:line="202" w:lineRule="exact"/>
              <w:rPr>
                <w:sz w:val="20"/>
                <w:szCs w:val="20"/>
                <w:color w:val="auto"/>
              </w:rPr>
            </w:pPr>
            <w:r>
              <w:rPr>
                <w:rFonts w:ascii="Arial" w:cs="Arial" w:eastAsia="Arial" w:hAnsi="Arial"/>
                <w:sz w:val="18"/>
                <w:szCs w:val="18"/>
                <w:color w:val="auto"/>
              </w:rPr>
              <w:t>our total issued and outstanding shares and</w:t>
            </w:r>
          </w:p>
        </w:tc>
        <w:tc>
          <w:tcPr>
            <w:tcW w:w="1040" w:type="dxa"/>
            <w:vAlign w:val="bottom"/>
          </w:tcPr>
          <w:p>
            <w:pPr>
              <w:ind w:left="140"/>
              <w:spacing w:after="0" w:line="202" w:lineRule="exact"/>
              <w:rPr>
                <w:sz w:val="20"/>
                <w:szCs w:val="20"/>
                <w:color w:val="auto"/>
              </w:rPr>
            </w:pPr>
            <w:r>
              <w:rPr>
                <w:rFonts w:ascii="Arial" w:cs="Arial" w:eastAsia="Arial" w:hAnsi="Arial"/>
                <w:sz w:val="18"/>
                <w:szCs w:val="18"/>
                <w:color w:val="auto"/>
              </w:rPr>
              <w:t>% of the</w:t>
            </w:r>
          </w:p>
        </w:tc>
      </w:tr>
      <w:tr>
        <w:trPr>
          <w:trHeight w:val="203"/>
        </w:trPr>
        <w:tc>
          <w:tcPr>
            <w:tcW w:w="3180" w:type="dxa"/>
            <w:vAlign w:val="bottom"/>
          </w:tcPr>
          <w:p>
            <w:pPr>
              <w:spacing w:after="0"/>
              <w:rPr>
                <w:sz w:val="17"/>
                <w:szCs w:val="17"/>
                <w:color w:val="auto"/>
              </w:rPr>
            </w:pPr>
          </w:p>
        </w:tc>
        <w:tc>
          <w:tcPr>
            <w:tcW w:w="4600" w:type="dxa"/>
            <w:vAlign w:val="bottom"/>
          </w:tcPr>
          <w:p>
            <w:pPr>
              <w:ind w:left="2340"/>
              <w:spacing w:after="0" w:line="202" w:lineRule="exact"/>
              <w:rPr>
                <w:sz w:val="20"/>
                <w:szCs w:val="20"/>
                <w:color w:val="auto"/>
              </w:rPr>
            </w:pPr>
            <w:r>
              <w:rPr>
                <w:rFonts w:ascii="Arial" w:cs="Arial" w:eastAsia="Arial" w:hAnsi="Arial"/>
                <w:sz w:val="18"/>
                <w:szCs w:val="18"/>
                <w:color w:val="auto"/>
              </w:rPr>
              <w:t>then total voting power (or</w:t>
            </w:r>
          </w:p>
        </w:tc>
        <w:tc>
          <w:tcPr>
            <w:tcW w:w="27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 of our total issued and</w:t>
            </w:r>
          </w:p>
        </w:tc>
      </w:tr>
      <w:tr>
        <w:trPr>
          <w:trHeight w:val="203"/>
        </w:trPr>
        <w:tc>
          <w:tcPr>
            <w:tcW w:w="3180" w:type="dxa"/>
            <w:vAlign w:val="bottom"/>
          </w:tcPr>
          <w:p>
            <w:pPr>
              <w:spacing w:after="0"/>
              <w:rPr>
                <w:sz w:val="17"/>
                <w:szCs w:val="17"/>
                <w:color w:val="auto"/>
              </w:rPr>
            </w:pPr>
          </w:p>
        </w:tc>
        <w:tc>
          <w:tcPr>
            <w:tcW w:w="4600" w:type="dxa"/>
            <w:vAlign w:val="bottom"/>
          </w:tcPr>
          <w:p>
            <w:pPr>
              <w:ind w:left="2340"/>
              <w:spacing w:after="0" w:line="202" w:lineRule="exact"/>
              <w:rPr>
                <w:sz w:val="20"/>
                <w:szCs w:val="20"/>
                <w:color w:val="auto"/>
              </w:rPr>
            </w:pPr>
            <w:r>
              <w:rPr>
                <w:rFonts w:ascii="Arial" w:cs="Arial" w:eastAsia="Arial" w:hAnsi="Arial"/>
                <w:sz w:val="18"/>
                <w:szCs w:val="18"/>
                <w:color w:val="auto"/>
              </w:rPr>
              <w:t>outstanding shares and</w:t>
            </w:r>
          </w:p>
        </w:tc>
        <w:tc>
          <w:tcPr>
            <w:tcW w:w="278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9"/>
              </w:rPr>
              <w:t>% of the then total voting power</w:t>
            </w:r>
          </w:p>
        </w:tc>
      </w:tr>
      <w:tr>
        <w:trPr>
          <w:trHeight w:val="217"/>
        </w:trPr>
        <w:tc>
          <w:tcPr>
            <w:tcW w:w="3180" w:type="dxa"/>
            <w:vAlign w:val="bottom"/>
          </w:tcPr>
          <w:p>
            <w:pPr>
              <w:spacing w:after="0"/>
              <w:rPr>
                <w:sz w:val="18"/>
                <w:szCs w:val="18"/>
                <w:color w:val="auto"/>
              </w:rPr>
            </w:pPr>
          </w:p>
        </w:tc>
        <w:tc>
          <w:tcPr>
            <w:tcW w:w="7380" w:type="dxa"/>
            <w:vAlign w:val="bottom"/>
            <w:gridSpan w:val="3"/>
          </w:tcPr>
          <w:p>
            <w:pPr>
              <w:ind w:left="2340"/>
              <w:spacing w:after="0"/>
              <w:rPr>
                <w:sz w:val="20"/>
                <w:szCs w:val="20"/>
                <w:color w:val="auto"/>
              </w:rPr>
            </w:pPr>
            <w:r>
              <w:rPr>
                <w:rFonts w:ascii="Arial" w:cs="Arial" w:eastAsia="Arial" w:hAnsi="Arial"/>
                <w:sz w:val="18"/>
                <w:szCs w:val="18"/>
                <w:color w:val="auto"/>
              </w:rPr>
              <w:t>if the underwriters exercise their over-allotment option in full).</w:t>
            </w:r>
          </w:p>
        </w:tc>
      </w:tr>
      <w:tr>
        <w:trPr>
          <w:trHeight w:val="445"/>
        </w:trPr>
        <w:tc>
          <w:tcPr>
            <w:tcW w:w="3180" w:type="dxa"/>
            <w:vAlign w:val="bottom"/>
          </w:tcPr>
          <w:p>
            <w:pPr>
              <w:spacing w:after="0"/>
              <w:rPr>
                <w:sz w:val="20"/>
                <w:szCs w:val="20"/>
                <w:color w:val="auto"/>
              </w:rPr>
            </w:pPr>
            <w:r>
              <w:rPr>
                <w:rFonts w:ascii="Arial" w:cs="Arial" w:eastAsia="Arial" w:hAnsi="Arial"/>
                <w:sz w:val="18"/>
                <w:szCs w:val="18"/>
                <w:color w:val="auto"/>
              </w:rPr>
              <w:t>The ADSs</w:t>
            </w:r>
          </w:p>
        </w:tc>
        <w:tc>
          <w:tcPr>
            <w:tcW w:w="4600" w:type="dxa"/>
            <w:vAlign w:val="bottom"/>
          </w:tcPr>
          <w:p>
            <w:pPr>
              <w:ind w:left="2340"/>
              <w:spacing w:after="0"/>
              <w:rPr>
                <w:sz w:val="20"/>
                <w:szCs w:val="20"/>
                <w:color w:val="auto"/>
              </w:rPr>
            </w:pPr>
            <w:r>
              <w:rPr>
                <w:rFonts w:ascii="Arial" w:cs="Arial" w:eastAsia="Arial" w:hAnsi="Arial"/>
                <w:sz w:val="18"/>
                <w:szCs w:val="18"/>
                <w:color w:val="auto"/>
              </w:rPr>
              <w:t>Each ADS represents</w:t>
            </w:r>
          </w:p>
        </w:tc>
        <w:tc>
          <w:tcPr>
            <w:tcW w:w="2780" w:type="dxa"/>
            <w:vAlign w:val="bottom"/>
            <w:gridSpan w:val="2"/>
          </w:tcPr>
          <w:p>
            <w:pPr>
              <w:ind w:left="180"/>
              <w:spacing w:after="0"/>
              <w:rPr>
                <w:sz w:val="20"/>
                <w:szCs w:val="20"/>
                <w:color w:val="auto"/>
              </w:rPr>
            </w:pPr>
            <w:r>
              <w:rPr>
                <w:rFonts w:ascii="Arial" w:cs="Arial" w:eastAsia="Arial" w:hAnsi="Arial"/>
                <w:sz w:val="18"/>
                <w:szCs w:val="18"/>
                <w:color w:val="auto"/>
              </w:rPr>
              <w:t>Class A ordinary shares, par</w:t>
            </w:r>
          </w:p>
        </w:tc>
      </w:tr>
    </w:tbl>
    <w:p>
      <w:pPr>
        <w:ind w:left="5820"/>
        <w:spacing w:after="0"/>
        <w:rPr>
          <w:sz w:val="20"/>
          <w:szCs w:val="20"/>
          <w:color w:val="auto"/>
        </w:rPr>
      </w:pPr>
      <w:r>
        <w:rPr>
          <w:rFonts w:ascii="Arial" w:cs="Arial" w:eastAsia="Arial" w:hAnsi="Arial"/>
          <w:sz w:val="18"/>
          <w:szCs w:val="18"/>
          <w:color w:val="auto"/>
        </w:rPr>
        <w:t>value US$0.001 per share.</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depositary, or its custodian, will hold Class A ordinary</w:t>
      </w:r>
    </w:p>
    <w:p>
      <w:pPr>
        <w:ind w:left="5820"/>
        <w:spacing w:after="0" w:line="234" w:lineRule="auto"/>
        <w:rPr>
          <w:sz w:val="20"/>
          <w:szCs w:val="20"/>
          <w:color w:val="auto"/>
        </w:rPr>
      </w:pPr>
      <w:r>
        <w:rPr>
          <w:rFonts w:ascii="Arial" w:cs="Arial" w:eastAsia="Arial" w:hAnsi="Arial"/>
          <w:sz w:val="18"/>
          <w:szCs w:val="18"/>
          <w:color w:val="auto"/>
        </w:rPr>
        <w:t>shares underlying your ADSs. You will have rights as provided</w:t>
      </w:r>
    </w:p>
    <w:p>
      <w:pPr>
        <w:ind w:left="5820"/>
        <w:spacing w:after="0" w:line="235" w:lineRule="auto"/>
        <w:rPr>
          <w:sz w:val="20"/>
          <w:szCs w:val="20"/>
          <w:color w:val="auto"/>
        </w:rPr>
      </w:pPr>
      <w:r>
        <w:rPr>
          <w:rFonts w:ascii="Arial" w:cs="Arial" w:eastAsia="Arial" w:hAnsi="Arial"/>
          <w:sz w:val="18"/>
          <w:szCs w:val="18"/>
          <w:color w:val="auto"/>
        </w:rPr>
        <w:t>in the deposit agreement among us, the depositary and holders</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beneficial owners of ADSs from time to time.</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We do not expect to pay dividends in the foreseeable future. If,</w:t>
      </w:r>
    </w:p>
    <w:p>
      <w:pPr>
        <w:ind w:left="5820"/>
        <w:spacing w:after="0" w:line="234" w:lineRule="auto"/>
        <w:rPr>
          <w:sz w:val="20"/>
          <w:szCs w:val="20"/>
          <w:color w:val="auto"/>
        </w:rPr>
      </w:pPr>
      <w:r>
        <w:rPr>
          <w:rFonts w:ascii="Arial" w:cs="Arial" w:eastAsia="Arial" w:hAnsi="Arial"/>
          <w:sz w:val="18"/>
          <w:szCs w:val="18"/>
          <w:color w:val="auto"/>
        </w:rPr>
        <w:t>however, we declare dividends on our Class A ordinary shares,</w:t>
      </w:r>
    </w:p>
    <w:p>
      <w:pPr>
        <w:ind w:left="5820"/>
        <w:spacing w:after="0" w:line="235" w:lineRule="auto"/>
        <w:rPr>
          <w:sz w:val="20"/>
          <w:szCs w:val="20"/>
          <w:color w:val="auto"/>
        </w:rPr>
      </w:pPr>
      <w:r>
        <w:rPr>
          <w:rFonts w:ascii="Arial" w:cs="Arial" w:eastAsia="Arial" w:hAnsi="Arial"/>
          <w:sz w:val="18"/>
          <w:szCs w:val="18"/>
          <w:color w:val="auto"/>
        </w:rPr>
        <w:t>the depositary will pay you the cash dividends and other</w:t>
      </w:r>
    </w:p>
    <w:p>
      <w:pPr>
        <w:ind w:left="5820"/>
        <w:spacing w:after="0" w:line="235" w:lineRule="auto"/>
        <w:rPr>
          <w:sz w:val="20"/>
          <w:szCs w:val="20"/>
          <w:color w:val="auto"/>
        </w:rPr>
      </w:pPr>
      <w:r>
        <w:rPr>
          <w:rFonts w:ascii="Arial" w:cs="Arial" w:eastAsia="Arial" w:hAnsi="Arial"/>
          <w:sz w:val="18"/>
          <w:szCs w:val="18"/>
          <w:color w:val="auto"/>
        </w:rPr>
        <w:t>distributions it receives on our Class A ordinary shares after</w:t>
      </w:r>
    </w:p>
    <w:p>
      <w:pPr>
        <w:ind w:left="5820"/>
        <w:spacing w:after="0" w:line="235" w:lineRule="auto"/>
        <w:rPr>
          <w:sz w:val="20"/>
          <w:szCs w:val="20"/>
          <w:color w:val="auto"/>
        </w:rPr>
      </w:pPr>
      <w:r>
        <w:rPr>
          <w:rFonts w:ascii="Arial" w:cs="Arial" w:eastAsia="Arial" w:hAnsi="Arial"/>
          <w:sz w:val="18"/>
          <w:szCs w:val="18"/>
          <w:color w:val="auto"/>
        </w:rPr>
        <w:t>deducting its fees and expenses in accordance with the terms</w:t>
      </w:r>
    </w:p>
    <w:p>
      <w:pPr>
        <w:ind w:left="5820"/>
        <w:spacing w:after="0"/>
        <w:rPr>
          <w:sz w:val="20"/>
          <w:szCs w:val="20"/>
          <w:color w:val="auto"/>
        </w:rPr>
      </w:pPr>
      <w:r>
        <w:rPr>
          <w:rFonts w:ascii="Arial" w:cs="Arial" w:eastAsia="Arial" w:hAnsi="Arial"/>
          <w:sz w:val="18"/>
          <w:szCs w:val="18"/>
          <w:color w:val="auto"/>
        </w:rPr>
        <w:t>set forth in the deposit agreement.</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You may surrender your ADSs to the depositary in exchange for</w:t>
      </w:r>
    </w:p>
    <w:p>
      <w:pPr>
        <w:ind w:left="5820"/>
        <w:spacing w:after="0" w:line="234" w:lineRule="auto"/>
        <w:rPr>
          <w:sz w:val="20"/>
          <w:szCs w:val="20"/>
          <w:color w:val="auto"/>
        </w:rPr>
      </w:pPr>
      <w:r>
        <w:rPr>
          <w:rFonts w:ascii="Arial" w:cs="Arial" w:eastAsia="Arial" w:hAnsi="Arial"/>
          <w:sz w:val="18"/>
          <w:szCs w:val="18"/>
          <w:color w:val="auto"/>
        </w:rPr>
        <w:t>Class A ordinary shares. The depositary will charge you fees for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any exchange.</w:t>
      </w: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We may amend or terminate the deposit agreement without</w:t>
      </w:r>
    </w:p>
    <w:p>
      <w:pPr>
        <w:ind w:left="5820"/>
        <w:spacing w:after="0" w:line="234" w:lineRule="auto"/>
        <w:rPr>
          <w:sz w:val="20"/>
          <w:szCs w:val="20"/>
          <w:color w:val="auto"/>
        </w:rPr>
      </w:pPr>
      <w:r>
        <w:rPr>
          <w:rFonts w:ascii="Arial" w:cs="Arial" w:eastAsia="Arial" w:hAnsi="Arial"/>
          <w:sz w:val="18"/>
          <w:szCs w:val="18"/>
          <w:color w:val="auto"/>
        </w:rPr>
        <w:t>your consent. If you continue to hold your ADSs after an</w:t>
      </w:r>
    </w:p>
    <w:p>
      <w:pPr>
        <w:ind w:left="5820"/>
        <w:spacing w:after="0" w:line="235" w:lineRule="auto"/>
        <w:rPr>
          <w:sz w:val="20"/>
          <w:szCs w:val="20"/>
          <w:color w:val="auto"/>
        </w:rPr>
      </w:pPr>
      <w:r>
        <w:rPr>
          <w:rFonts w:ascii="Arial" w:cs="Arial" w:eastAsia="Arial" w:hAnsi="Arial"/>
          <w:sz w:val="18"/>
          <w:szCs w:val="18"/>
          <w:color w:val="auto"/>
        </w:rPr>
        <w:t>amendment to the deposit agreement, you agree to be bound</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the deposit agreement as amended.</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660" w:type="dxa"/>
            <w:vAlign w:val="bottom"/>
          </w:tcPr>
          <w:p>
            <w:pPr>
              <w:spacing w:after="0"/>
              <w:rPr>
                <w:sz w:val="18"/>
                <w:szCs w:val="18"/>
                <w:color w:val="auto"/>
              </w:rPr>
            </w:pPr>
          </w:p>
        </w:tc>
        <w:tc>
          <w:tcPr>
            <w:tcW w:w="7360" w:type="dxa"/>
            <w:vAlign w:val="bottom"/>
          </w:tcPr>
          <w:p>
            <w:pPr>
              <w:ind w:left="2040"/>
              <w:spacing w:after="0"/>
              <w:rPr>
                <w:sz w:val="20"/>
                <w:szCs w:val="20"/>
                <w:color w:val="auto"/>
              </w:rPr>
            </w:pPr>
            <w:r>
              <w:rPr>
                <w:rFonts w:ascii="Arial" w:cs="Arial" w:eastAsia="Arial" w:hAnsi="Arial"/>
                <w:sz w:val="18"/>
                <w:szCs w:val="18"/>
                <w:color w:val="auto"/>
              </w:rPr>
              <w:t>To better understand the terms of the ADSs, you should</w:t>
            </w:r>
          </w:p>
        </w:tc>
      </w:tr>
      <w:tr>
        <w:trPr>
          <w:trHeight w:val="203"/>
        </w:trPr>
        <w:tc>
          <w:tcPr>
            <w:tcW w:w="3660" w:type="dxa"/>
            <w:vAlign w:val="bottom"/>
          </w:tcPr>
          <w:p>
            <w:pPr>
              <w:spacing w:after="0"/>
              <w:rPr>
                <w:sz w:val="17"/>
                <w:szCs w:val="17"/>
                <w:color w:val="auto"/>
              </w:rPr>
            </w:pPr>
          </w:p>
        </w:tc>
        <w:tc>
          <w:tcPr>
            <w:tcW w:w="7360" w:type="dxa"/>
            <w:vAlign w:val="bottom"/>
          </w:tcPr>
          <w:p>
            <w:pPr>
              <w:ind w:left="2040"/>
              <w:spacing w:after="0" w:line="202" w:lineRule="exact"/>
              <w:rPr>
                <w:sz w:val="20"/>
                <w:szCs w:val="20"/>
                <w:color w:val="auto"/>
              </w:rPr>
            </w:pPr>
            <w:r>
              <w:rPr>
                <w:rFonts w:ascii="Arial" w:cs="Arial" w:eastAsia="Arial" w:hAnsi="Arial"/>
                <w:sz w:val="18"/>
                <w:szCs w:val="18"/>
                <w:color w:val="auto"/>
              </w:rPr>
              <w:t>carefully read the “Description of American Depositary Shares”</w:t>
            </w:r>
          </w:p>
        </w:tc>
      </w:tr>
      <w:tr>
        <w:trPr>
          <w:trHeight w:val="203"/>
        </w:trPr>
        <w:tc>
          <w:tcPr>
            <w:tcW w:w="3660" w:type="dxa"/>
            <w:vAlign w:val="bottom"/>
          </w:tcPr>
          <w:p>
            <w:pPr>
              <w:spacing w:after="0"/>
              <w:rPr>
                <w:sz w:val="17"/>
                <w:szCs w:val="17"/>
                <w:color w:val="auto"/>
              </w:rPr>
            </w:pPr>
          </w:p>
        </w:tc>
        <w:tc>
          <w:tcPr>
            <w:tcW w:w="7360" w:type="dxa"/>
            <w:vAlign w:val="bottom"/>
          </w:tcPr>
          <w:p>
            <w:pPr>
              <w:ind w:left="2040"/>
              <w:spacing w:after="0" w:line="202" w:lineRule="exact"/>
              <w:rPr>
                <w:sz w:val="20"/>
                <w:szCs w:val="20"/>
                <w:color w:val="auto"/>
              </w:rPr>
            </w:pPr>
            <w:r>
              <w:rPr>
                <w:rFonts w:ascii="Arial" w:cs="Arial" w:eastAsia="Arial" w:hAnsi="Arial"/>
                <w:sz w:val="18"/>
                <w:szCs w:val="18"/>
                <w:color w:val="auto"/>
              </w:rPr>
              <w:t>section of this prospectus. You should also read the deposit</w:t>
            </w:r>
          </w:p>
        </w:tc>
      </w:tr>
      <w:tr>
        <w:trPr>
          <w:trHeight w:val="203"/>
        </w:trPr>
        <w:tc>
          <w:tcPr>
            <w:tcW w:w="3660" w:type="dxa"/>
            <w:vAlign w:val="bottom"/>
          </w:tcPr>
          <w:p>
            <w:pPr>
              <w:spacing w:after="0"/>
              <w:rPr>
                <w:sz w:val="17"/>
                <w:szCs w:val="17"/>
                <w:color w:val="auto"/>
              </w:rPr>
            </w:pPr>
          </w:p>
        </w:tc>
        <w:tc>
          <w:tcPr>
            <w:tcW w:w="7360" w:type="dxa"/>
            <w:vAlign w:val="bottom"/>
          </w:tcPr>
          <w:p>
            <w:pPr>
              <w:ind w:left="2040"/>
              <w:spacing w:after="0" w:line="202" w:lineRule="exact"/>
              <w:rPr>
                <w:sz w:val="20"/>
                <w:szCs w:val="20"/>
                <w:color w:val="auto"/>
              </w:rPr>
            </w:pPr>
            <w:r>
              <w:rPr>
                <w:rFonts w:ascii="Arial" w:cs="Arial" w:eastAsia="Arial" w:hAnsi="Arial"/>
                <w:sz w:val="18"/>
                <w:szCs w:val="18"/>
                <w:color w:val="auto"/>
              </w:rPr>
              <w:t>agreement, which is filed as an exhibit to the registration</w:t>
            </w:r>
          </w:p>
        </w:tc>
      </w:tr>
      <w:tr>
        <w:trPr>
          <w:trHeight w:val="217"/>
        </w:trPr>
        <w:tc>
          <w:tcPr>
            <w:tcW w:w="3660" w:type="dxa"/>
            <w:vAlign w:val="bottom"/>
          </w:tcPr>
          <w:p>
            <w:pPr>
              <w:spacing w:after="0"/>
              <w:rPr>
                <w:sz w:val="18"/>
                <w:szCs w:val="18"/>
                <w:color w:val="auto"/>
              </w:rPr>
            </w:pPr>
          </w:p>
        </w:tc>
        <w:tc>
          <w:tcPr>
            <w:tcW w:w="7360" w:type="dxa"/>
            <w:vAlign w:val="bottom"/>
          </w:tcPr>
          <w:p>
            <w:pPr>
              <w:ind w:left="2040"/>
              <w:spacing w:after="0"/>
              <w:rPr>
                <w:sz w:val="20"/>
                <w:szCs w:val="20"/>
                <w:color w:val="auto"/>
              </w:rPr>
            </w:pPr>
            <w:r>
              <w:rPr>
                <w:rFonts w:ascii="Arial" w:cs="Arial" w:eastAsia="Arial" w:hAnsi="Arial"/>
                <w:sz w:val="18"/>
                <w:szCs w:val="18"/>
                <w:color w:val="auto"/>
              </w:rPr>
              <w:t>statement that includes this prospectus.</w:t>
            </w:r>
          </w:p>
        </w:tc>
      </w:tr>
      <w:tr>
        <w:trPr>
          <w:trHeight w:val="431"/>
        </w:trPr>
        <w:tc>
          <w:tcPr>
            <w:tcW w:w="3660" w:type="dxa"/>
            <w:vAlign w:val="bottom"/>
          </w:tcPr>
          <w:p>
            <w:pPr>
              <w:ind w:left="180"/>
              <w:spacing w:after="0"/>
              <w:rPr>
                <w:sz w:val="20"/>
                <w:szCs w:val="20"/>
                <w:color w:val="auto"/>
              </w:rPr>
            </w:pPr>
            <w:r>
              <w:rPr>
                <w:rFonts w:ascii="Arial" w:cs="Arial" w:eastAsia="Arial" w:hAnsi="Arial"/>
                <w:sz w:val="18"/>
                <w:szCs w:val="18"/>
                <w:color w:val="auto"/>
              </w:rPr>
              <w:t>Over-allotment option</w:t>
            </w:r>
          </w:p>
        </w:tc>
        <w:tc>
          <w:tcPr>
            <w:tcW w:w="7360" w:type="dxa"/>
            <w:vAlign w:val="bottom"/>
          </w:tcPr>
          <w:p>
            <w:pPr>
              <w:ind w:left="2040"/>
              <w:spacing w:after="0"/>
              <w:rPr>
                <w:sz w:val="20"/>
                <w:szCs w:val="20"/>
                <w:color w:val="auto"/>
              </w:rPr>
            </w:pPr>
            <w:r>
              <w:rPr>
                <w:rFonts w:ascii="Arial" w:cs="Arial" w:eastAsia="Arial" w:hAnsi="Arial"/>
                <w:sz w:val="18"/>
                <w:szCs w:val="18"/>
                <w:color w:val="auto"/>
              </w:rPr>
              <w:t>We have granted the underwriters an option, exercisable within</w:t>
            </w:r>
          </w:p>
        </w:tc>
      </w:tr>
      <w:tr>
        <w:trPr>
          <w:trHeight w:val="217"/>
        </w:trPr>
        <w:tc>
          <w:tcPr>
            <w:tcW w:w="3660" w:type="dxa"/>
            <w:vAlign w:val="bottom"/>
          </w:tcPr>
          <w:p>
            <w:pPr>
              <w:spacing w:after="0"/>
              <w:rPr>
                <w:sz w:val="18"/>
                <w:szCs w:val="18"/>
                <w:color w:val="auto"/>
              </w:rPr>
            </w:pPr>
          </w:p>
        </w:tc>
        <w:tc>
          <w:tcPr>
            <w:tcW w:w="7360" w:type="dxa"/>
            <w:vAlign w:val="bottom"/>
          </w:tcPr>
          <w:p>
            <w:pPr>
              <w:ind w:left="2040"/>
              <w:spacing w:after="0"/>
              <w:rPr>
                <w:sz w:val="20"/>
                <w:szCs w:val="20"/>
                <w:color w:val="auto"/>
              </w:rPr>
            </w:pPr>
            <w:r>
              <w:rPr>
                <w:rFonts w:ascii="Arial" w:cs="Arial" w:eastAsia="Arial" w:hAnsi="Arial"/>
                <w:sz w:val="18"/>
                <w:szCs w:val="18"/>
                <w:color w:val="auto"/>
              </w:rPr>
              <w:t>30 days from the date of this</w:t>
            </w:r>
          </w:p>
        </w:tc>
      </w:tr>
      <w:tr>
        <w:trPr>
          <w:trHeight w:val="226"/>
        </w:trPr>
        <w:tc>
          <w:tcPr>
            <w:tcW w:w="366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tcPr>
          <w:p>
            <w:pPr>
              <w:spacing w:after="0"/>
              <w:rPr>
                <w:sz w:val="19"/>
                <w:szCs w:val="19"/>
                <w:color w:val="auto"/>
              </w:rPr>
            </w:pPr>
          </w:p>
        </w:tc>
      </w:tr>
      <w:tr>
        <w:trPr>
          <w:trHeight w:val="604"/>
        </w:trPr>
        <w:tc>
          <w:tcPr>
            <w:tcW w:w="3660" w:type="dxa"/>
            <w:vAlign w:val="bottom"/>
          </w:tcPr>
          <w:p>
            <w:pPr>
              <w:spacing w:after="0"/>
              <w:rPr>
                <w:sz w:val="24"/>
                <w:szCs w:val="24"/>
                <w:color w:val="auto"/>
              </w:rPr>
            </w:pPr>
          </w:p>
        </w:tc>
        <w:tc>
          <w:tcPr>
            <w:tcW w:w="7360" w:type="dxa"/>
            <w:vAlign w:val="bottom"/>
          </w:tcPr>
          <w:p>
            <w:pPr>
              <w:ind w:left="174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7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gridSpan w:val="3"/>
          </w:tcPr>
          <w:p>
            <w:pPr>
              <w:ind w:left="1940"/>
              <w:spacing w:after="0"/>
              <w:rPr>
                <w:sz w:val="20"/>
                <w:szCs w:val="20"/>
                <w:color w:val="auto"/>
              </w:rPr>
            </w:pPr>
            <w:r>
              <w:rPr>
                <w:rFonts w:ascii="Arial" w:cs="Arial" w:eastAsia="Arial" w:hAnsi="Arial"/>
                <w:sz w:val="18"/>
                <w:szCs w:val="18"/>
                <w:color w:val="auto"/>
              </w:rPr>
              <w:t>prospectus, to purchase up to an aggregate of additional ADSs.</w:t>
            </w:r>
          </w:p>
        </w:tc>
      </w:tr>
      <w:tr>
        <w:trPr>
          <w:trHeight w:val="445"/>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260" w:type="dxa"/>
            <w:vAlign w:val="bottom"/>
            <w:tcBorders>
              <w:right w:val="single" w:sz="8" w:color="auto"/>
            </w:tcBorders>
            <w:gridSpan w:val="3"/>
          </w:tcPr>
          <w:p>
            <w:pPr>
              <w:ind w:left="1940"/>
              <w:spacing w:after="0"/>
              <w:rPr>
                <w:sz w:val="20"/>
                <w:szCs w:val="20"/>
                <w:color w:val="auto"/>
              </w:rPr>
            </w:pPr>
            <w:r>
              <w:rPr>
                <w:rFonts w:ascii="Arial" w:cs="Arial" w:eastAsia="Arial" w:hAnsi="Arial"/>
                <w:sz w:val="18"/>
                <w:szCs w:val="18"/>
                <w:color w:val="auto"/>
              </w:rPr>
              <w:t>We expect that we will receive net proceeds of approximately</w:t>
            </w:r>
          </w:p>
        </w:tc>
      </w:tr>
      <w:tr>
        <w:trPr>
          <w:trHeight w:val="203"/>
        </w:trPr>
        <w:tc>
          <w:tcPr>
            <w:tcW w:w="3760" w:type="dxa"/>
            <w:vAlign w:val="bottom"/>
            <w:tcBorders>
              <w:left w:val="single" w:sz="8" w:color="auto"/>
            </w:tcBorders>
          </w:tcPr>
          <w:p>
            <w:pPr>
              <w:spacing w:after="0"/>
              <w:rPr>
                <w:sz w:val="17"/>
                <w:szCs w:val="17"/>
                <w:color w:val="auto"/>
              </w:rPr>
            </w:pPr>
          </w:p>
        </w:tc>
        <w:tc>
          <w:tcPr>
            <w:tcW w:w="2780" w:type="dxa"/>
            <w:vAlign w:val="bottom"/>
          </w:tcPr>
          <w:p>
            <w:pPr>
              <w:ind w:left="1940"/>
              <w:spacing w:after="0" w:line="202" w:lineRule="exact"/>
              <w:rPr>
                <w:sz w:val="20"/>
                <w:szCs w:val="20"/>
                <w:color w:val="auto"/>
              </w:rPr>
            </w:pPr>
            <w:r>
              <w:rPr>
                <w:rFonts w:ascii="Arial" w:cs="Arial" w:eastAsia="Arial" w:hAnsi="Arial"/>
                <w:sz w:val="18"/>
                <w:szCs w:val="18"/>
                <w:color w:val="auto"/>
              </w:rPr>
              <w:t>US$</w:t>
            </w:r>
          </w:p>
        </w:tc>
        <w:tc>
          <w:tcPr>
            <w:tcW w:w="3600" w:type="dxa"/>
            <w:vAlign w:val="bottom"/>
          </w:tcPr>
          <w:p>
            <w:pPr>
              <w:ind w:left="160"/>
              <w:spacing w:after="0" w:line="202" w:lineRule="exact"/>
              <w:rPr>
                <w:sz w:val="20"/>
                <w:szCs w:val="20"/>
                <w:color w:val="auto"/>
              </w:rPr>
            </w:pPr>
            <w:r>
              <w:rPr>
                <w:rFonts w:ascii="Arial" w:cs="Arial" w:eastAsia="Arial" w:hAnsi="Arial"/>
                <w:sz w:val="18"/>
                <w:szCs w:val="18"/>
                <w:color w:val="auto"/>
              </w:rPr>
              <w:t>million from this offering or approximately</w:t>
            </w:r>
          </w:p>
        </w:tc>
        <w:tc>
          <w:tcPr>
            <w:tcW w:w="880" w:type="dxa"/>
            <w:vAlign w:val="bottom"/>
            <w:tcBorders>
              <w:right w:val="single" w:sz="8" w:color="auto"/>
            </w:tcBorders>
          </w:tcPr>
          <w:p>
            <w:pPr>
              <w:spacing w:after="0"/>
              <w:rPr>
                <w:sz w:val="17"/>
                <w:szCs w:val="17"/>
                <w:color w:val="auto"/>
              </w:rPr>
            </w:pPr>
          </w:p>
        </w:tc>
      </w:tr>
      <w:tr>
        <w:trPr>
          <w:trHeight w:val="203"/>
        </w:trPr>
        <w:tc>
          <w:tcPr>
            <w:tcW w:w="3760" w:type="dxa"/>
            <w:vAlign w:val="bottom"/>
            <w:tcBorders>
              <w:left w:val="single" w:sz="8" w:color="auto"/>
            </w:tcBorders>
          </w:tcPr>
          <w:p>
            <w:pPr>
              <w:spacing w:after="0"/>
              <w:rPr>
                <w:sz w:val="17"/>
                <w:szCs w:val="17"/>
                <w:color w:val="auto"/>
              </w:rPr>
            </w:pPr>
          </w:p>
        </w:tc>
        <w:tc>
          <w:tcPr>
            <w:tcW w:w="2780" w:type="dxa"/>
            <w:vAlign w:val="bottom"/>
          </w:tcPr>
          <w:p>
            <w:pPr>
              <w:ind w:left="1940"/>
              <w:spacing w:after="0" w:line="202" w:lineRule="exact"/>
              <w:rPr>
                <w:sz w:val="20"/>
                <w:szCs w:val="20"/>
                <w:color w:val="auto"/>
              </w:rPr>
            </w:pPr>
            <w:r>
              <w:rPr>
                <w:rFonts w:ascii="Arial" w:cs="Arial" w:eastAsia="Arial" w:hAnsi="Arial"/>
                <w:sz w:val="18"/>
                <w:szCs w:val="18"/>
                <w:color w:val="auto"/>
              </w:rPr>
              <w:t>US$</w:t>
            </w:r>
          </w:p>
        </w:tc>
        <w:tc>
          <w:tcPr>
            <w:tcW w:w="4480" w:type="dxa"/>
            <w:vAlign w:val="bottom"/>
            <w:tcBorders>
              <w:right w:val="single" w:sz="8" w:color="auto"/>
            </w:tcBorders>
            <w:gridSpan w:val="2"/>
          </w:tcPr>
          <w:p>
            <w:pPr>
              <w:ind w:left="160"/>
              <w:spacing w:after="0" w:line="202" w:lineRule="exact"/>
              <w:rPr>
                <w:sz w:val="20"/>
                <w:szCs w:val="20"/>
                <w:color w:val="auto"/>
              </w:rPr>
            </w:pPr>
            <w:r>
              <w:rPr>
                <w:rFonts w:ascii="Arial" w:cs="Arial" w:eastAsia="Arial" w:hAnsi="Arial"/>
                <w:sz w:val="18"/>
                <w:szCs w:val="18"/>
                <w:color w:val="auto"/>
              </w:rPr>
              <w:t>million if the underwriters exercise their over-</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allotment option in full, assuming an initial public offering price</w:t>
            </w:r>
          </w:p>
        </w:tc>
      </w:tr>
      <w:tr>
        <w:trPr>
          <w:trHeight w:val="203"/>
        </w:trPr>
        <w:tc>
          <w:tcPr>
            <w:tcW w:w="3760" w:type="dxa"/>
            <w:vAlign w:val="bottom"/>
            <w:tcBorders>
              <w:left w:val="single" w:sz="8" w:color="auto"/>
            </w:tcBorders>
          </w:tcPr>
          <w:p>
            <w:pPr>
              <w:spacing w:after="0"/>
              <w:rPr>
                <w:sz w:val="17"/>
                <w:szCs w:val="17"/>
                <w:color w:val="auto"/>
              </w:rPr>
            </w:pPr>
          </w:p>
        </w:tc>
        <w:tc>
          <w:tcPr>
            <w:tcW w:w="2780" w:type="dxa"/>
            <w:vAlign w:val="bottom"/>
          </w:tcPr>
          <w:p>
            <w:pPr>
              <w:ind w:left="1940"/>
              <w:spacing w:after="0" w:line="202" w:lineRule="exact"/>
              <w:rPr>
                <w:sz w:val="20"/>
                <w:szCs w:val="20"/>
                <w:color w:val="auto"/>
              </w:rPr>
            </w:pPr>
            <w:r>
              <w:rPr>
                <w:rFonts w:ascii="Arial" w:cs="Arial" w:eastAsia="Arial" w:hAnsi="Arial"/>
                <w:sz w:val="18"/>
                <w:szCs w:val="18"/>
                <w:color w:val="auto"/>
              </w:rPr>
              <w:t>of US$</w:t>
            </w:r>
          </w:p>
        </w:tc>
        <w:tc>
          <w:tcPr>
            <w:tcW w:w="4480" w:type="dxa"/>
            <w:vAlign w:val="bottom"/>
            <w:tcBorders>
              <w:right w:val="single" w:sz="8" w:color="auto"/>
            </w:tcBorders>
            <w:gridSpan w:val="2"/>
          </w:tcPr>
          <w:p>
            <w:pPr>
              <w:jc w:val="right"/>
              <w:ind w:right="250"/>
              <w:spacing w:after="0" w:line="202" w:lineRule="exact"/>
              <w:rPr>
                <w:sz w:val="20"/>
                <w:szCs w:val="20"/>
                <w:color w:val="auto"/>
              </w:rPr>
            </w:pPr>
            <w:r>
              <w:rPr>
                <w:rFonts w:ascii="Arial" w:cs="Arial" w:eastAsia="Arial" w:hAnsi="Arial"/>
                <w:sz w:val="18"/>
                <w:szCs w:val="18"/>
                <w:color w:val="auto"/>
              </w:rPr>
              <w:t>per ADS, which is the midpoint of the estimated</w:t>
            </w:r>
          </w:p>
        </w:tc>
      </w:tr>
      <w:tr>
        <w:trPr>
          <w:trHeight w:val="203"/>
        </w:trPr>
        <w:tc>
          <w:tcPr>
            <w:tcW w:w="3760" w:type="dxa"/>
            <w:vAlign w:val="bottom"/>
            <w:tcBorders>
              <w:left w:val="single" w:sz="8" w:color="auto"/>
            </w:tcBorders>
          </w:tcPr>
          <w:p>
            <w:pPr>
              <w:spacing w:after="0"/>
              <w:rPr>
                <w:sz w:val="17"/>
                <w:szCs w:val="17"/>
                <w:color w:val="auto"/>
              </w:rPr>
            </w:pPr>
          </w:p>
        </w:tc>
        <w:tc>
          <w:tcPr>
            <w:tcW w:w="6380" w:type="dxa"/>
            <w:vAlign w:val="bottom"/>
            <w:gridSpan w:val="2"/>
          </w:tcPr>
          <w:p>
            <w:pPr>
              <w:ind w:left="1940"/>
              <w:spacing w:after="0" w:line="202" w:lineRule="exact"/>
              <w:rPr>
                <w:sz w:val="20"/>
                <w:szCs w:val="20"/>
                <w:color w:val="auto"/>
              </w:rPr>
            </w:pPr>
            <w:r>
              <w:rPr>
                <w:rFonts w:ascii="Arial" w:cs="Arial" w:eastAsia="Arial" w:hAnsi="Arial"/>
                <w:sz w:val="18"/>
                <w:szCs w:val="18"/>
                <w:color w:val="auto"/>
              </w:rPr>
              <w:t>range of the initial public offering price, after deducting</w:t>
            </w:r>
          </w:p>
        </w:tc>
        <w:tc>
          <w:tcPr>
            <w:tcW w:w="880" w:type="dxa"/>
            <w:vAlign w:val="bottom"/>
            <w:tcBorders>
              <w:right w:val="single" w:sz="8" w:color="auto"/>
            </w:tcBorders>
          </w:tcPr>
          <w:p>
            <w:pPr>
              <w:spacing w:after="0"/>
              <w:rPr>
                <w:sz w:val="17"/>
                <w:szCs w:val="17"/>
                <w:color w:val="auto"/>
              </w:rPr>
            </w:pP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underwriting discounts and commissions and estimated offering</w:t>
            </w:r>
          </w:p>
        </w:tc>
      </w:tr>
      <w:tr>
        <w:trPr>
          <w:trHeight w:val="217"/>
        </w:trPr>
        <w:tc>
          <w:tcPr>
            <w:tcW w:w="3760" w:type="dxa"/>
            <w:vAlign w:val="bottom"/>
            <w:tcBorders>
              <w:left w:val="single" w:sz="8" w:color="auto"/>
            </w:tcBorders>
          </w:tcPr>
          <w:p>
            <w:pPr>
              <w:spacing w:after="0"/>
              <w:rPr>
                <w:sz w:val="18"/>
                <w:szCs w:val="18"/>
                <w:color w:val="auto"/>
              </w:rPr>
            </w:pPr>
          </w:p>
        </w:tc>
        <w:tc>
          <w:tcPr>
            <w:tcW w:w="6380" w:type="dxa"/>
            <w:vAlign w:val="bottom"/>
            <w:gridSpan w:val="2"/>
          </w:tcPr>
          <w:p>
            <w:pPr>
              <w:ind w:left="1940"/>
              <w:spacing w:after="0"/>
              <w:rPr>
                <w:sz w:val="20"/>
                <w:szCs w:val="20"/>
                <w:color w:val="auto"/>
              </w:rPr>
            </w:pPr>
            <w:r>
              <w:rPr>
                <w:rFonts w:ascii="Arial" w:cs="Arial" w:eastAsia="Arial" w:hAnsi="Arial"/>
                <w:sz w:val="18"/>
                <w:szCs w:val="18"/>
                <w:color w:val="auto"/>
              </w:rPr>
              <w:t>expenses payable by us.</w:t>
            </w:r>
          </w:p>
        </w:tc>
        <w:tc>
          <w:tcPr>
            <w:tcW w:w="880" w:type="dxa"/>
            <w:vAlign w:val="bottom"/>
            <w:tcBorders>
              <w:right w:val="single" w:sz="8" w:color="auto"/>
            </w:tcBorders>
          </w:tcPr>
          <w:p>
            <w:pPr>
              <w:spacing w:after="0"/>
              <w:rPr>
                <w:sz w:val="18"/>
                <w:szCs w:val="18"/>
                <w:color w:val="auto"/>
              </w:rPr>
            </w:pPr>
          </w:p>
        </w:tc>
      </w:tr>
      <w:tr>
        <w:trPr>
          <w:trHeight w:val="431"/>
        </w:trPr>
        <w:tc>
          <w:tcPr>
            <w:tcW w:w="3760" w:type="dxa"/>
            <w:vAlign w:val="bottom"/>
            <w:tcBorders>
              <w:left w:val="single" w:sz="8" w:color="auto"/>
            </w:tcBorders>
          </w:tcPr>
          <w:p>
            <w:pPr>
              <w:spacing w:after="0"/>
              <w:rPr>
                <w:sz w:val="24"/>
                <w:szCs w:val="24"/>
                <w:color w:val="auto"/>
              </w:rPr>
            </w:pPr>
          </w:p>
        </w:tc>
        <w:tc>
          <w:tcPr>
            <w:tcW w:w="7260" w:type="dxa"/>
            <w:vAlign w:val="bottom"/>
            <w:tcBorders>
              <w:right w:val="single" w:sz="8" w:color="auto"/>
            </w:tcBorders>
            <w:gridSpan w:val="3"/>
          </w:tcPr>
          <w:p>
            <w:pPr>
              <w:ind w:left="1940"/>
              <w:spacing w:after="0"/>
              <w:rPr>
                <w:sz w:val="20"/>
                <w:szCs w:val="20"/>
                <w:color w:val="auto"/>
              </w:rPr>
            </w:pPr>
            <w:r>
              <w:rPr>
                <w:rFonts w:ascii="Arial" w:cs="Arial" w:eastAsia="Arial" w:hAnsi="Arial"/>
                <w:sz w:val="18"/>
                <w:szCs w:val="18"/>
                <w:color w:val="auto"/>
              </w:rPr>
              <w:t>We intend to use the net proceeds from this offering to further</w:t>
            </w:r>
          </w:p>
        </w:tc>
      </w:tr>
      <w:tr>
        <w:trPr>
          <w:trHeight w:val="203"/>
        </w:trPr>
        <w:tc>
          <w:tcPr>
            <w:tcW w:w="3760" w:type="dxa"/>
            <w:vAlign w:val="bottom"/>
            <w:tcBorders>
              <w:left w:val="single" w:sz="8" w:color="auto"/>
            </w:tcBorders>
          </w:tcPr>
          <w:p>
            <w:pPr>
              <w:spacing w:after="0"/>
              <w:rPr>
                <w:sz w:val="17"/>
                <w:szCs w:val="17"/>
                <w:color w:val="auto"/>
              </w:rPr>
            </w:pPr>
          </w:p>
        </w:tc>
        <w:tc>
          <w:tcPr>
            <w:tcW w:w="6380" w:type="dxa"/>
            <w:vAlign w:val="bottom"/>
            <w:gridSpan w:val="2"/>
          </w:tcPr>
          <w:p>
            <w:pPr>
              <w:ind w:left="1940"/>
              <w:spacing w:after="0" w:line="202" w:lineRule="exact"/>
              <w:rPr>
                <w:sz w:val="20"/>
                <w:szCs w:val="20"/>
                <w:color w:val="auto"/>
              </w:rPr>
            </w:pPr>
            <w:r>
              <w:rPr>
                <w:rFonts w:ascii="Arial" w:cs="Arial" w:eastAsia="Arial" w:hAnsi="Arial"/>
                <w:sz w:val="18"/>
                <w:szCs w:val="18"/>
                <w:color w:val="auto"/>
              </w:rPr>
              <w:t>improve our technology capabilities; to diversify service</w:t>
            </w:r>
          </w:p>
        </w:tc>
        <w:tc>
          <w:tcPr>
            <w:tcW w:w="880" w:type="dxa"/>
            <w:vAlign w:val="bottom"/>
            <w:tcBorders>
              <w:right w:val="single" w:sz="8" w:color="auto"/>
            </w:tcBorders>
          </w:tcPr>
          <w:p>
            <w:pPr>
              <w:spacing w:after="0"/>
              <w:rPr>
                <w:sz w:val="17"/>
                <w:szCs w:val="17"/>
                <w:color w:val="auto"/>
              </w:rPr>
            </w:pP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offerings on our platform; to further expand our AHS store</w:t>
            </w:r>
          </w:p>
        </w:tc>
      </w:tr>
      <w:tr>
        <w:trPr>
          <w:trHeight w:val="203"/>
        </w:trPr>
        <w:tc>
          <w:tcPr>
            <w:tcW w:w="3760" w:type="dxa"/>
            <w:vAlign w:val="bottom"/>
            <w:tcBorders>
              <w:left w:val="single" w:sz="8" w:color="auto"/>
            </w:tcBorders>
          </w:tcPr>
          <w:p>
            <w:pPr>
              <w:spacing w:after="0"/>
              <w:rPr>
                <w:sz w:val="17"/>
                <w:szCs w:val="17"/>
                <w:color w:val="auto"/>
              </w:rPr>
            </w:pPr>
          </w:p>
        </w:tc>
        <w:tc>
          <w:tcPr>
            <w:tcW w:w="6380" w:type="dxa"/>
            <w:vAlign w:val="bottom"/>
            <w:gridSpan w:val="2"/>
          </w:tcPr>
          <w:p>
            <w:pPr>
              <w:ind w:left="1940"/>
              <w:spacing w:after="0" w:line="202" w:lineRule="exact"/>
              <w:rPr>
                <w:sz w:val="20"/>
                <w:szCs w:val="20"/>
                <w:color w:val="auto"/>
              </w:rPr>
            </w:pPr>
            <w:r>
              <w:rPr>
                <w:rFonts w:ascii="Arial" w:cs="Arial" w:eastAsia="Arial" w:hAnsi="Arial"/>
                <w:sz w:val="18"/>
                <w:szCs w:val="18"/>
                <w:color w:val="auto"/>
              </w:rPr>
              <w:t>network and develop new sales channels for Paipai</w:t>
            </w:r>
          </w:p>
        </w:tc>
        <w:tc>
          <w:tcPr>
            <w:tcW w:w="880" w:type="dxa"/>
            <w:vAlign w:val="bottom"/>
            <w:tcBorders>
              <w:right w:val="single" w:sz="8" w:color="auto"/>
            </w:tcBorders>
          </w:tcPr>
          <w:p>
            <w:pPr>
              <w:spacing w:after="0"/>
              <w:rPr>
                <w:sz w:val="17"/>
                <w:szCs w:val="17"/>
                <w:color w:val="auto"/>
              </w:rPr>
            </w:pP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Marketplace; and for general corporate purposes, which may</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include investing in sales and marketing activities, and funding</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working capital needs and potential strategic investments and</w:t>
            </w:r>
          </w:p>
        </w:tc>
      </w:tr>
      <w:tr>
        <w:trPr>
          <w:trHeight w:val="217"/>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3"/>
          </w:tcPr>
          <w:p>
            <w:pPr>
              <w:ind w:left="1940"/>
              <w:spacing w:after="0"/>
              <w:rPr>
                <w:sz w:val="20"/>
                <w:szCs w:val="20"/>
                <w:color w:val="auto"/>
              </w:rPr>
            </w:pPr>
            <w:r>
              <w:rPr>
                <w:rFonts w:ascii="Arial" w:cs="Arial" w:eastAsia="Arial" w:hAnsi="Arial"/>
                <w:sz w:val="18"/>
                <w:szCs w:val="18"/>
                <w:color w:val="auto"/>
              </w:rPr>
              <w:t>acquisitions. See “Use of Proceeds” for more information.</w:t>
            </w:r>
          </w:p>
        </w:tc>
      </w:tr>
      <w:tr>
        <w:trPr>
          <w:trHeight w:val="431"/>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Lock-up</w:t>
            </w:r>
          </w:p>
        </w:tc>
        <w:tc>
          <w:tcPr>
            <w:tcW w:w="7260" w:type="dxa"/>
            <w:vAlign w:val="bottom"/>
            <w:tcBorders>
              <w:right w:val="single" w:sz="8" w:color="auto"/>
            </w:tcBorders>
            <w:gridSpan w:val="3"/>
          </w:tcPr>
          <w:p>
            <w:pPr>
              <w:ind w:left="1940"/>
              <w:spacing w:after="0"/>
              <w:rPr>
                <w:sz w:val="20"/>
                <w:szCs w:val="20"/>
                <w:color w:val="auto"/>
              </w:rPr>
            </w:pPr>
            <w:r>
              <w:rPr>
                <w:rFonts w:ascii="Arial" w:cs="Arial" w:eastAsia="Arial" w:hAnsi="Arial"/>
                <w:sz w:val="18"/>
                <w:szCs w:val="18"/>
                <w:color w:val="auto"/>
              </w:rPr>
              <w:t>[We, our directors, executive officers, and all of our existing</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shareholders] have agreed with the underwriters, subject to</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certain exceptions, not to sell, transfer or otherwise dispose of</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any ADSs, ordinary shares or similar securities for a period of</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180 days after the date of this prospectus. See “Shares Eligible</w:t>
            </w:r>
          </w:p>
        </w:tc>
      </w:tr>
      <w:tr>
        <w:trPr>
          <w:trHeight w:val="217"/>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3"/>
          </w:tcPr>
          <w:p>
            <w:pPr>
              <w:ind w:left="1940"/>
              <w:spacing w:after="0"/>
              <w:rPr>
                <w:sz w:val="20"/>
                <w:szCs w:val="20"/>
                <w:color w:val="auto"/>
              </w:rPr>
            </w:pPr>
            <w:r>
              <w:rPr>
                <w:rFonts w:ascii="Arial" w:cs="Arial" w:eastAsia="Arial" w:hAnsi="Arial"/>
                <w:sz w:val="18"/>
                <w:szCs w:val="18"/>
                <w:color w:val="auto"/>
              </w:rPr>
              <w:t>for Future Sale” and “Underwriting” for more information.</w:t>
            </w:r>
          </w:p>
        </w:tc>
      </w:tr>
      <w:tr>
        <w:trPr>
          <w:trHeight w:val="431"/>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Directed Share Program</w:t>
            </w:r>
          </w:p>
        </w:tc>
        <w:tc>
          <w:tcPr>
            <w:tcW w:w="7260" w:type="dxa"/>
            <w:vAlign w:val="bottom"/>
            <w:tcBorders>
              <w:right w:val="single" w:sz="8" w:color="auto"/>
            </w:tcBorders>
            <w:gridSpan w:val="3"/>
          </w:tcPr>
          <w:p>
            <w:pPr>
              <w:ind w:left="1940"/>
              <w:spacing w:after="0"/>
              <w:rPr>
                <w:sz w:val="20"/>
                <w:szCs w:val="20"/>
                <w:color w:val="auto"/>
              </w:rPr>
            </w:pPr>
            <w:r>
              <w:rPr>
                <w:rFonts w:ascii="Arial" w:cs="Arial" w:eastAsia="Arial" w:hAnsi="Arial"/>
                <w:sz w:val="18"/>
                <w:szCs w:val="18"/>
                <w:color w:val="auto"/>
              </w:rPr>
              <w:t>At our request, the underwriters have reserved for sale, at the</w:t>
            </w:r>
          </w:p>
        </w:tc>
      </w:tr>
      <w:tr>
        <w:trPr>
          <w:trHeight w:val="203"/>
        </w:trPr>
        <w:tc>
          <w:tcPr>
            <w:tcW w:w="3760" w:type="dxa"/>
            <w:vAlign w:val="bottom"/>
            <w:tcBorders>
              <w:left w:val="single" w:sz="8" w:color="auto"/>
            </w:tcBorders>
          </w:tcPr>
          <w:p>
            <w:pPr>
              <w:spacing w:after="0"/>
              <w:rPr>
                <w:sz w:val="17"/>
                <w:szCs w:val="17"/>
                <w:color w:val="auto"/>
              </w:rPr>
            </w:pPr>
          </w:p>
        </w:tc>
        <w:tc>
          <w:tcPr>
            <w:tcW w:w="6380" w:type="dxa"/>
            <w:vAlign w:val="bottom"/>
            <w:gridSpan w:val="2"/>
          </w:tcPr>
          <w:p>
            <w:pPr>
              <w:ind w:left="1940"/>
              <w:spacing w:after="0" w:line="202" w:lineRule="exact"/>
              <w:rPr>
                <w:sz w:val="20"/>
                <w:szCs w:val="20"/>
                <w:color w:val="auto"/>
              </w:rPr>
            </w:pPr>
            <w:r>
              <w:rPr>
                <w:rFonts w:ascii="Arial" w:cs="Arial" w:eastAsia="Arial" w:hAnsi="Arial"/>
                <w:sz w:val="18"/>
                <w:szCs w:val="18"/>
                <w:color w:val="auto"/>
              </w:rPr>
              <w:t>initial public offering price, up to an aggregate of</w:t>
            </w:r>
          </w:p>
        </w:tc>
        <w:tc>
          <w:tcPr>
            <w:tcW w:w="880" w:type="dxa"/>
            <w:vAlign w:val="bottom"/>
            <w:tcBorders>
              <w:right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 of</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the ADSs offered in this offering to some of our directors,</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officers, employees, business associates and related other</w:t>
            </w:r>
          </w:p>
        </w:tc>
      </w:tr>
      <w:tr>
        <w:trPr>
          <w:trHeight w:val="202"/>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persons associated with us through a directed share program.</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Any sales made through the directed share program will be</w:t>
            </w:r>
          </w:p>
        </w:tc>
      </w:tr>
      <w:tr>
        <w:trPr>
          <w:trHeight w:val="203"/>
        </w:trPr>
        <w:tc>
          <w:tcPr>
            <w:tcW w:w="3760" w:type="dxa"/>
            <w:vAlign w:val="bottom"/>
            <w:tcBorders>
              <w:left w:val="single" w:sz="8" w:color="auto"/>
            </w:tcBorders>
          </w:tcPr>
          <w:p>
            <w:pPr>
              <w:spacing w:after="0"/>
              <w:rPr>
                <w:sz w:val="17"/>
                <w:szCs w:val="17"/>
                <w:color w:val="auto"/>
              </w:rPr>
            </w:pPr>
          </w:p>
        </w:tc>
        <w:tc>
          <w:tcPr>
            <w:tcW w:w="2780" w:type="dxa"/>
            <w:vAlign w:val="bottom"/>
          </w:tcPr>
          <w:p>
            <w:pPr>
              <w:ind w:left="1940"/>
              <w:spacing w:after="0" w:line="202" w:lineRule="exact"/>
              <w:rPr>
                <w:sz w:val="20"/>
                <w:szCs w:val="20"/>
                <w:color w:val="auto"/>
              </w:rPr>
            </w:pPr>
            <w:r>
              <w:rPr>
                <w:rFonts w:ascii="Arial" w:cs="Arial" w:eastAsia="Arial" w:hAnsi="Arial"/>
                <w:sz w:val="18"/>
                <w:szCs w:val="18"/>
                <w:color w:val="auto"/>
              </w:rPr>
              <w:t>made by</w:t>
            </w:r>
          </w:p>
        </w:tc>
        <w:tc>
          <w:tcPr>
            <w:tcW w:w="4480" w:type="dxa"/>
            <w:vAlign w:val="bottom"/>
            <w:tcBorders>
              <w:right w:val="single" w:sz="8" w:color="auto"/>
            </w:tcBorders>
            <w:gridSpan w:val="2"/>
          </w:tcPr>
          <w:p>
            <w:pPr>
              <w:jc w:val="right"/>
              <w:ind w:right="250"/>
              <w:spacing w:after="0" w:line="202" w:lineRule="exact"/>
              <w:rPr>
                <w:sz w:val="20"/>
                <w:szCs w:val="20"/>
                <w:color w:val="auto"/>
              </w:rPr>
            </w:pPr>
            <w:r>
              <w:rPr>
                <w:rFonts w:ascii="Arial" w:cs="Arial" w:eastAsia="Arial" w:hAnsi="Arial"/>
                <w:sz w:val="18"/>
                <w:szCs w:val="18"/>
                <w:color w:val="auto"/>
              </w:rPr>
              <w:t>. We do not know if these persons will choose</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to purchase all or any portion of these reserved ADSs, but any</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purchases they do make will reduce the number of ADSs</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available to the general public. Any reserved ADSs not so</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3"/>
          </w:tcPr>
          <w:p>
            <w:pPr>
              <w:ind w:left="1940"/>
              <w:spacing w:after="0" w:line="202" w:lineRule="exact"/>
              <w:rPr>
                <w:sz w:val="20"/>
                <w:szCs w:val="20"/>
                <w:color w:val="auto"/>
              </w:rPr>
            </w:pPr>
            <w:r>
              <w:rPr>
                <w:rFonts w:ascii="Arial" w:cs="Arial" w:eastAsia="Arial" w:hAnsi="Arial"/>
                <w:sz w:val="18"/>
                <w:szCs w:val="18"/>
                <w:color w:val="auto"/>
              </w:rPr>
              <w:t>purchased will be offered by the underwriters to the general</w:t>
            </w:r>
          </w:p>
        </w:tc>
      </w:tr>
      <w:tr>
        <w:trPr>
          <w:trHeight w:val="217"/>
        </w:trPr>
        <w:tc>
          <w:tcPr>
            <w:tcW w:w="3760" w:type="dxa"/>
            <w:vAlign w:val="bottom"/>
            <w:tcBorders>
              <w:left w:val="single" w:sz="8" w:color="auto"/>
            </w:tcBorders>
          </w:tcPr>
          <w:p>
            <w:pPr>
              <w:spacing w:after="0"/>
              <w:rPr>
                <w:sz w:val="18"/>
                <w:szCs w:val="18"/>
                <w:color w:val="auto"/>
              </w:rPr>
            </w:pPr>
          </w:p>
        </w:tc>
        <w:tc>
          <w:tcPr>
            <w:tcW w:w="6380" w:type="dxa"/>
            <w:vAlign w:val="bottom"/>
            <w:gridSpan w:val="2"/>
          </w:tcPr>
          <w:p>
            <w:pPr>
              <w:ind w:left="1940"/>
              <w:spacing w:after="0"/>
              <w:rPr>
                <w:sz w:val="20"/>
                <w:szCs w:val="20"/>
                <w:color w:val="auto"/>
              </w:rPr>
            </w:pPr>
            <w:r>
              <w:rPr>
                <w:rFonts w:ascii="Arial" w:cs="Arial" w:eastAsia="Arial" w:hAnsi="Arial"/>
                <w:sz w:val="18"/>
                <w:szCs w:val="18"/>
                <w:color w:val="auto"/>
              </w:rPr>
              <w:t>public on the same terms as the</w:t>
            </w:r>
          </w:p>
        </w:tc>
        <w:tc>
          <w:tcPr>
            <w:tcW w:w="880" w:type="dxa"/>
            <w:vAlign w:val="bottom"/>
            <w:tcBorders>
              <w:right w:val="single" w:sz="8" w:color="auto"/>
            </w:tcBorders>
          </w:tcPr>
          <w:p>
            <w:pPr>
              <w:spacing w:after="0"/>
              <w:rPr>
                <w:sz w:val="18"/>
                <w:szCs w:val="18"/>
                <w:color w:val="auto"/>
              </w:rPr>
            </w:pPr>
          </w:p>
        </w:tc>
      </w:tr>
      <w:tr>
        <w:trPr>
          <w:trHeight w:val="226"/>
        </w:trPr>
        <w:tc>
          <w:tcPr>
            <w:tcW w:w="3760" w:type="dxa"/>
            <w:vAlign w:val="bottom"/>
            <w:tcBorders>
              <w:left w:val="single" w:sz="8" w:color="auto"/>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r>
      <w:tr>
        <w:trPr>
          <w:trHeight w:val="604"/>
        </w:trPr>
        <w:tc>
          <w:tcPr>
            <w:tcW w:w="3760" w:type="dxa"/>
            <w:vAlign w:val="bottom"/>
          </w:tcPr>
          <w:p>
            <w:pPr>
              <w:spacing w:after="0"/>
              <w:rPr>
                <w:sz w:val="24"/>
                <w:szCs w:val="24"/>
                <w:color w:val="auto"/>
              </w:rPr>
            </w:pPr>
          </w:p>
        </w:tc>
        <w:tc>
          <w:tcPr>
            <w:tcW w:w="2780" w:type="dxa"/>
            <w:vAlign w:val="bottom"/>
          </w:tcPr>
          <w:p>
            <w:pPr>
              <w:ind w:left="1640"/>
              <w:spacing w:after="0"/>
              <w:rPr>
                <w:sz w:val="20"/>
                <w:szCs w:val="20"/>
                <w:color w:val="auto"/>
              </w:rPr>
            </w:pPr>
            <w:r>
              <w:rPr>
                <w:rFonts w:ascii="Arial" w:cs="Arial" w:eastAsia="Arial" w:hAnsi="Arial"/>
                <w:sz w:val="18"/>
                <w:szCs w:val="18"/>
                <w:color w:val="auto"/>
              </w:rPr>
              <w:t>17</w:t>
            </w:r>
          </w:p>
        </w:tc>
        <w:tc>
          <w:tcPr>
            <w:tcW w:w="36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7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gridSpan w:val="2"/>
          </w:tcPr>
          <w:p>
            <w:pPr>
              <w:ind w:left="1940"/>
              <w:spacing w:after="0"/>
              <w:rPr>
                <w:sz w:val="20"/>
                <w:szCs w:val="20"/>
                <w:color w:val="auto"/>
              </w:rPr>
            </w:pPr>
            <w:r>
              <w:rPr>
                <w:rFonts w:ascii="Arial" w:cs="Arial" w:eastAsia="Arial" w:hAnsi="Arial"/>
                <w:sz w:val="18"/>
                <w:szCs w:val="18"/>
                <w:color w:val="auto"/>
              </w:rPr>
              <w:t>other ADSs. Certain participants may be subject to the lock-up</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agreements as described in “Underwriting—Directed Share</w:t>
            </w:r>
          </w:p>
        </w:tc>
      </w:tr>
      <w:tr>
        <w:trPr>
          <w:trHeight w:val="217"/>
        </w:trPr>
        <w:tc>
          <w:tcPr>
            <w:tcW w:w="3760" w:type="dxa"/>
            <w:vAlign w:val="bottom"/>
            <w:tcBorders>
              <w:left w:val="single" w:sz="8" w:color="auto"/>
            </w:tcBorders>
          </w:tcPr>
          <w:p>
            <w:pPr>
              <w:spacing w:after="0"/>
              <w:rPr>
                <w:sz w:val="18"/>
                <w:szCs w:val="18"/>
                <w:color w:val="auto"/>
              </w:rPr>
            </w:pPr>
          </w:p>
        </w:tc>
        <w:tc>
          <w:tcPr>
            <w:tcW w:w="2760" w:type="dxa"/>
            <w:vAlign w:val="bottom"/>
          </w:tcPr>
          <w:p>
            <w:pPr>
              <w:ind w:left="1940"/>
              <w:spacing w:after="0"/>
              <w:rPr>
                <w:sz w:val="20"/>
                <w:szCs w:val="20"/>
                <w:color w:val="auto"/>
              </w:rPr>
            </w:pPr>
            <w:r>
              <w:rPr>
                <w:rFonts w:ascii="Arial" w:cs="Arial" w:eastAsia="Arial" w:hAnsi="Arial"/>
                <w:sz w:val="18"/>
                <w:szCs w:val="18"/>
                <w:color w:val="auto"/>
                <w:w w:val="99"/>
              </w:rPr>
              <w:t>Program”.</w:t>
            </w:r>
          </w:p>
        </w:tc>
        <w:tc>
          <w:tcPr>
            <w:tcW w:w="4500" w:type="dxa"/>
            <w:vAlign w:val="bottom"/>
            <w:tcBorders>
              <w:right w:val="single" w:sz="8" w:color="auto"/>
            </w:tcBorders>
          </w:tcPr>
          <w:p>
            <w:pPr>
              <w:spacing w:after="0"/>
              <w:rPr>
                <w:sz w:val="18"/>
                <w:szCs w:val="18"/>
                <w:color w:val="auto"/>
              </w:rPr>
            </w:pPr>
          </w:p>
        </w:tc>
      </w:tr>
      <w:tr>
        <w:trPr>
          <w:trHeight w:val="445"/>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We intend to apply to have the ADSs listed on the New York</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Stock Exchange under the symbol “RERE.” The ADSs and our</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ordinary shares will not be listed on any other stock exchange</w:t>
            </w:r>
          </w:p>
        </w:tc>
      </w:tr>
      <w:tr>
        <w:trPr>
          <w:trHeight w:val="217"/>
        </w:trPr>
        <w:tc>
          <w:tcPr>
            <w:tcW w:w="37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or traded on any automated quotation system.</w:t>
            </w:r>
          </w:p>
        </w:tc>
      </w:tr>
      <w:tr>
        <w:trPr>
          <w:trHeight w:val="431"/>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Payment and settlement</w:t>
            </w: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The underwriters expect to deliver the ADSs against payment</w:t>
            </w:r>
          </w:p>
        </w:tc>
      </w:tr>
      <w:tr>
        <w:trPr>
          <w:trHeight w:val="203"/>
        </w:trPr>
        <w:tc>
          <w:tcPr>
            <w:tcW w:w="3760" w:type="dxa"/>
            <w:vAlign w:val="bottom"/>
            <w:tcBorders>
              <w:left w:val="single" w:sz="8" w:color="auto"/>
            </w:tcBorders>
          </w:tcPr>
          <w:p>
            <w:pPr>
              <w:spacing w:after="0"/>
              <w:rPr>
                <w:sz w:val="17"/>
                <w:szCs w:val="17"/>
                <w:color w:val="auto"/>
              </w:rPr>
            </w:pPr>
          </w:p>
        </w:tc>
        <w:tc>
          <w:tcPr>
            <w:tcW w:w="7260" w:type="dxa"/>
            <w:vAlign w:val="bottom"/>
            <w:tcBorders>
              <w:right w:val="single" w:sz="8" w:color="auto"/>
            </w:tcBorders>
            <w:gridSpan w:val="2"/>
          </w:tcPr>
          <w:p>
            <w:pPr>
              <w:ind w:left="1940"/>
              <w:spacing w:after="0" w:line="202" w:lineRule="exact"/>
              <w:rPr>
                <w:sz w:val="20"/>
                <w:szCs w:val="20"/>
                <w:color w:val="auto"/>
              </w:rPr>
            </w:pPr>
            <w:r>
              <w:rPr>
                <w:rFonts w:ascii="Arial" w:cs="Arial" w:eastAsia="Arial" w:hAnsi="Arial"/>
                <w:sz w:val="18"/>
                <w:szCs w:val="18"/>
                <w:color w:val="auto"/>
              </w:rPr>
              <w:t>therefor through the facilities of The Depository Trust Company</w:t>
            </w:r>
          </w:p>
        </w:tc>
      </w:tr>
      <w:tr>
        <w:trPr>
          <w:trHeight w:val="217"/>
        </w:trPr>
        <w:tc>
          <w:tcPr>
            <w:tcW w:w="3760" w:type="dxa"/>
            <w:vAlign w:val="bottom"/>
            <w:tcBorders>
              <w:left w:val="single" w:sz="8" w:color="auto"/>
            </w:tcBorders>
          </w:tcPr>
          <w:p>
            <w:pPr>
              <w:spacing w:after="0"/>
              <w:rPr>
                <w:sz w:val="18"/>
                <w:szCs w:val="18"/>
                <w:color w:val="auto"/>
              </w:rPr>
            </w:pPr>
          </w:p>
        </w:tc>
        <w:tc>
          <w:tcPr>
            <w:tcW w:w="2760" w:type="dxa"/>
            <w:vAlign w:val="bottom"/>
          </w:tcPr>
          <w:p>
            <w:pPr>
              <w:ind w:left="1940"/>
              <w:spacing w:after="0"/>
              <w:rPr>
                <w:sz w:val="20"/>
                <w:szCs w:val="20"/>
                <w:color w:val="auto"/>
              </w:rPr>
            </w:pPr>
            <w:r>
              <w:rPr>
                <w:rFonts w:ascii="Arial" w:cs="Arial" w:eastAsia="Arial" w:hAnsi="Arial"/>
                <w:sz w:val="18"/>
                <w:szCs w:val="18"/>
                <w:color w:val="auto"/>
              </w:rPr>
              <w:t>on</w:t>
            </w:r>
          </w:p>
        </w:tc>
        <w:tc>
          <w:tcPr>
            <w:tcW w:w="4500" w:type="dxa"/>
            <w:vAlign w:val="bottom"/>
            <w:tcBorders>
              <w:right w:val="single" w:sz="8" w:color="auto"/>
            </w:tcBorders>
          </w:tcPr>
          <w:p>
            <w:pPr>
              <w:jc w:val="right"/>
              <w:ind w:right="3830"/>
              <w:spacing w:after="0"/>
              <w:rPr>
                <w:sz w:val="20"/>
                <w:szCs w:val="20"/>
                <w:color w:val="auto"/>
              </w:rPr>
            </w:pPr>
            <w:r>
              <w:rPr>
                <w:rFonts w:ascii="Arial" w:cs="Arial" w:eastAsia="Arial" w:hAnsi="Arial"/>
                <w:sz w:val="18"/>
                <w:szCs w:val="18"/>
                <w:color w:val="auto"/>
              </w:rPr>
              <w:t>, 2021.</w:t>
            </w:r>
          </w:p>
        </w:tc>
      </w:tr>
      <w:tr>
        <w:trPr>
          <w:trHeight w:val="445"/>
        </w:trPr>
        <w:tc>
          <w:tcPr>
            <w:tcW w:w="3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Depositary</w:t>
            </w:r>
          </w:p>
        </w:tc>
        <w:tc>
          <w:tcPr>
            <w:tcW w:w="7260" w:type="dxa"/>
            <w:vAlign w:val="bottom"/>
            <w:tcBorders>
              <w:right w:val="single" w:sz="8" w:color="auto"/>
            </w:tcBorders>
            <w:gridSpan w:val="2"/>
          </w:tcPr>
          <w:p>
            <w:pPr>
              <w:ind w:left="1940"/>
              <w:spacing w:after="0"/>
              <w:rPr>
                <w:sz w:val="20"/>
                <w:szCs w:val="20"/>
                <w:color w:val="auto"/>
              </w:rPr>
            </w:pPr>
            <w:r>
              <w:rPr>
                <w:rFonts w:ascii="Arial" w:cs="Arial" w:eastAsia="Arial" w:hAnsi="Arial"/>
                <w:sz w:val="18"/>
                <w:szCs w:val="18"/>
                <w:color w:val="auto"/>
              </w:rPr>
              <w:t>Citibank, N.A.</w:t>
            </w:r>
          </w:p>
        </w:tc>
      </w:tr>
      <w:tr>
        <w:trPr>
          <w:trHeight w:val="240"/>
        </w:trPr>
        <w:tc>
          <w:tcPr>
            <w:tcW w:w="376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4500" w:type="dxa"/>
            <w:vAlign w:val="bottom"/>
            <w:tcBorders>
              <w:bottom w:val="single" w:sz="8" w:color="auto"/>
              <w:right w:val="single" w:sz="8" w:color="auto"/>
            </w:tcBorders>
          </w:tcPr>
          <w:p>
            <w:pPr>
              <w:spacing w:after="0"/>
              <w:rPr>
                <w:sz w:val="20"/>
                <w:szCs w:val="20"/>
                <w:color w:val="auto"/>
              </w:rPr>
            </w:pPr>
          </w:p>
        </w:tc>
      </w:tr>
      <w:tr>
        <w:trPr>
          <w:trHeight w:val="604"/>
        </w:trPr>
        <w:tc>
          <w:tcPr>
            <w:tcW w:w="3760" w:type="dxa"/>
            <w:vAlign w:val="bottom"/>
          </w:tcPr>
          <w:p>
            <w:pPr>
              <w:spacing w:after="0"/>
              <w:rPr>
                <w:sz w:val="24"/>
                <w:szCs w:val="24"/>
                <w:color w:val="auto"/>
              </w:rPr>
            </w:pPr>
          </w:p>
        </w:tc>
        <w:tc>
          <w:tcPr>
            <w:tcW w:w="2760" w:type="dxa"/>
            <w:vAlign w:val="bottom"/>
          </w:tcPr>
          <w:p>
            <w:pPr>
              <w:ind w:left="1640"/>
              <w:spacing w:after="0"/>
              <w:rPr>
                <w:sz w:val="20"/>
                <w:szCs w:val="20"/>
                <w:color w:val="auto"/>
              </w:rPr>
            </w:pPr>
            <w:r>
              <w:rPr>
                <w:rFonts w:ascii="Arial" w:cs="Arial" w:eastAsia="Arial" w:hAnsi="Arial"/>
                <w:sz w:val="18"/>
                <w:szCs w:val="18"/>
                <w:color w:val="auto"/>
              </w:rPr>
              <w:t>18</w:t>
            </w:r>
          </w:p>
        </w:tc>
        <w:tc>
          <w:tcPr>
            <w:tcW w:w="45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41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2419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Operating Data</w:t>
      </w:r>
    </w:p>
    <w:p>
      <w:pPr>
        <w:spacing w:after="0" w:line="234" w:lineRule="exact"/>
        <w:rPr>
          <w:sz w:val="20"/>
          <w:szCs w:val="20"/>
          <w:color w:val="auto"/>
        </w:rPr>
      </w:pPr>
    </w:p>
    <w:p>
      <w:pPr>
        <w:ind w:left="300" w:firstLine="532"/>
        <w:spacing w:after="0" w:line="236" w:lineRule="auto"/>
        <w:rPr>
          <w:sz w:val="20"/>
          <w:szCs w:val="20"/>
          <w:color w:val="auto"/>
        </w:rPr>
      </w:pPr>
      <w:r>
        <w:rPr>
          <w:rFonts w:ascii="Arial" w:cs="Arial" w:eastAsia="Arial" w:hAnsi="Arial"/>
          <w:sz w:val="18"/>
          <w:szCs w:val="18"/>
          <w:color w:val="auto"/>
        </w:rPr>
        <w:t>The following summary consolidated statements of operations and comprehensive loss data for the years ended December 31, 2018, 2019 and 2020, summary consolidated balance sheets data as of December 31, 2018, 2019 and 2020, and summary consolidated statements of cash flows data for the years ended December 31, 2018, 2019 and 2020 have been derived from our audited consolidated financial statements included elsewhere in this prospectus. The following summary consolidated statements of operations and comprehensive loss data for the three months ended March 31, 2020 and 2021, summary consolidated balance sheet data as of March 31, 2021, and summary consolidated statements of cash flows data for the three months ended March 31, 2020 and 2021 have been derived from our unaudited interim condensed consolidated financial statements included elsewhere in this prospectus and have been prepared on the same basis as our audited consolidated financial statements and include all adjustments, consisting only of ordinary and recurring adjustments, that we consider necessary for a fair statement of our financial position and results of operations for the periods presented. Our consolidated financial statements are prepared and presented in accordance with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203" w:lineRule="exact"/>
        <w:rPr>
          <w:sz w:val="20"/>
          <w:szCs w:val="20"/>
          <w:color w:val="auto"/>
        </w:rPr>
      </w:pPr>
    </w:p>
    <w:p>
      <w:pPr>
        <w:ind w:left="300" w:right="240" w:firstLine="532"/>
        <w:spacing w:after="0" w:line="246" w:lineRule="auto"/>
        <w:rPr>
          <w:sz w:val="20"/>
          <w:szCs w:val="20"/>
          <w:color w:val="auto"/>
        </w:rPr>
      </w:pPr>
      <w:r>
        <w:rPr>
          <w:rFonts w:ascii="Arial" w:cs="Arial" w:eastAsia="Arial" w:hAnsi="Arial"/>
          <w:sz w:val="18"/>
          <w:szCs w:val="18"/>
          <w:color w:val="auto"/>
        </w:rPr>
        <w:t>The following table presents our summary consolidated statements of operations and comprehensive loss data for the years ended December 31, 2018, 2019 and 2020 and the three months ended March 31, 2020 and 2021:</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1"/>
                <w:szCs w:val="11"/>
                <w:b w:val="1"/>
                <w:bCs w:val="1"/>
                <w:color w:val="auto"/>
              </w:rPr>
              <w:t>For the Year Ended December 31,</w:t>
            </w:r>
          </w:p>
        </w:tc>
        <w:tc>
          <w:tcPr>
            <w:tcW w:w="6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1"/>
                <w:szCs w:val="11"/>
                <w:b w:val="1"/>
                <w:bCs w:val="1"/>
                <w:color w:val="auto"/>
                <w:w w:val="99"/>
              </w:rPr>
              <w:t>For the Three Months Ended March 31,</w:t>
            </w: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58"/>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2021</w:t>
            </w:r>
          </w:p>
        </w:tc>
        <w:tc>
          <w:tcPr>
            <w:tcW w:w="1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80" w:type="dxa"/>
            <w:vAlign w:val="bottom"/>
            <w:tcBorders>
              <w:bottom w:val="single" w:sz="8" w:color="auto"/>
            </w:tcBorders>
            <w:gridSpan w:val="2"/>
          </w:tcPr>
          <w:p>
            <w:pPr>
              <w:jc w:val="right"/>
              <w:ind w:right="400"/>
              <w:spacing w:after="0" w:line="115" w:lineRule="exact"/>
              <w:rPr>
                <w:sz w:val="20"/>
                <w:szCs w:val="20"/>
                <w:color w:val="auto"/>
              </w:rPr>
            </w:pPr>
            <w:r>
              <w:rPr>
                <w:rFonts w:ascii="Arial" w:cs="Arial" w:eastAsia="Arial" w:hAnsi="Arial"/>
                <w:sz w:val="11"/>
                <w:szCs w:val="11"/>
                <w:b w:val="1"/>
                <w:bCs w:val="1"/>
                <w:color w:val="auto"/>
              </w:rPr>
              <w:t>RMB</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RMB</w:t>
            </w:r>
          </w:p>
        </w:tc>
        <w:tc>
          <w:tcPr>
            <w:tcW w:w="44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RMB</w:t>
            </w:r>
          </w:p>
        </w:tc>
        <w:tc>
          <w:tcPr>
            <w:tcW w:w="780" w:type="dxa"/>
            <w:vAlign w:val="bottom"/>
            <w:tcBorders>
              <w:bottom w:val="single" w:sz="8" w:color="auto"/>
            </w:tcBorders>
            <w:gridSpan w:val="2"/>
          </w:tcPr>
          <w:p>
            <w:pPr>
              <w:jc w:val="right"/>
              <w:ind w:right="380"/>
              <w:spacing w:after="0" w:line="115" w:lineRule="exact"/>
              <w:rPr>
                <w:sz w:val="20"/>
                <w:szCs w:val="20"/>
                <w:color w:val="auto"/>
              </w:rPr>
            </w:pPr>
            <w:r>
              <w:rPr>
                <w:rFonts w:ascii="Arial" w:cs="Arial" w:eastAsia="Arial" w:hAnsi="Arial"/>
                <w:sz w:val="11"/>
                <w:szCs w:val="11"/>
                <w:b w:val="1"/>
                <w:bCs w:val="1"/>
                <w:color w:val="auto"/>
              </w:rPr>
              <w:t>US$</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380"/>
              <w:spacing w:after="0" w:line="115" w:lineRule="exact"/>
              <w:rPr>
                <w:sz w:val="20"/>
                <w:szCs w:val="20"/>
                <w:color w:val="auto"/>
              </w:rPr>
            </w:pPr>
            <w:r>
              <w:rPr>
                <w:rFonts w:ascii="Arial" w:cs="Arial" w:eastAsia="Arial" w:hAnsi="Arial"/>
                <w:sz w:val="11"/>
                <w:szCs w:val="11"/>
                <w:b w:val="1"/>
                <w:bCs w:val="1"/>
                <w:color w:val="auto"/>
              </w:rPr>
              <w:t>RMB</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820" w:type="dxa"/>
            <w:vAlign w:val="bottom"/>
            <w:tcBorders>
              <w:bottom w:val="single" w:sz="8" w:color="auto"/>
            </w:tcBorders>
            <w:gridSpan w:val="2"/>
          </w:tcPr>
          <w:p>
            <w:pPr>
              <w:jc w:val="right"/>
              <w:ind w:right="400"/>
              <w:spacing w:after="0" w:line="115" w:lineRule="exact"/>
              <w:rPr>
                <w:sz w:val="20"/>
                <w:szCs w:val="20"/>
                <w:color w:val="auto"/>
              </w:rPr>
            </w:pPr>
            <w:r>
              <w:rPr>
                <w:rFonts w:ascii="Arial" w:cs="Arial" w:eastAsia="Arial" w:hAnsi="Arial"/>
                <w:sz w:val="11"/>
                <w:szCs w:val="11"/>
                <w:b w:val="1"/>
                <w:bCs w:val="1"/>
                <w:color w:val="auto"/>
              </w:rPr>
              <w:t>US$</w:t>
            </w:r>
          </w:p>
        </w:tc>
        <w:tc>
          <w:tcPr>
            <w:tcW w:w="480" w:type="dxa"/>
            <w:vAlign w:val="bottom"/>
            <w:tcBorders>
              <w:bottom w:val="single" w:sz="8" w:color="auto"/>
            </w:tcBorders>
          </w:tcPr>
          <w:p>
            <w:pPr>
              <w:jc w:val="right"/>
              <w:ind w:right="138"/>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0" w:type="dxa"/>
            <w:vAlign w:val="bottom"/>
            <w:gridSpan w:val="12"/>
          </w:tcPr>
          <w:p>
            <w:pPr>
              <w:jc w:val="right"/>
              <w:ind w:right="380"/>
              <w:spacing w:after="0" w:line="115" w:lineRule="exact"/>
              <w:rPr>
                <w:sz w:val="20"/>
                <w:szCs w:val="20"/>
                <w:color w:val="auto"/>
              </w:rPr>
            </w:pPr>
            <w:r>
              <w:rPr>
                <w:rFonts w:ascii="Arial" w:cs="Arial" w:eastAsia="Arial" w:hAnsi="Arial"/>
                <w:sz w:val="11"/>
                <w:szCs w:val="11"/>
                <w:b w:val="1"/>
                <w:bCs w:val="1"/>
                <w:color w:val="auto"/>
              </w:rPr>
              <w:t>(in thousands, except for percentages, share numbers and per share data)</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revenues</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Net product</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revenues</w:t>
            </w:r>
          </w:p>
        </w:tc>
        <w:tc>
          <w:tcPr>
            <w:tcW w:w="8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3,249,923</w:t>
            </w:r>
          </w:p>
        </w:tc>
        <w:tc>
          <w:tcPr>
            <w:tcW w:w="6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99.6</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3,730,206</w:t>
            </w:r>
          </w:p>
        </w:tc>
        <w:tc>
          <w:tcPr>
            <w:tcW w:w="18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3"/>
                <w:szCs w:val="13"/>
                <w:color w:val="auto"/>
              </w:rPr>
              <w:t>94.9</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4,244,023</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647,764</w:t>
            </w:r>
          </w:p>
        </w:tc>
        <w:tc>
          <w:tcPr>
            <w:tcW w:w="18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87.4</w:t>
            </w:r>
          </w:p>
        </w:tc>
        <w:tc>
          <w:tcPr>
            <w:tcW w:w="18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606,103</w:t>
            </w:r>
          </w:p>
        </w:tc>
        <w:tc>
          <w:tcPr>
            <w:tcW w:w="180" w:type="dxa"/>
            <w:vAlign w:val="bottom"/>
          </w:tcPr>
          <w:p>
            <w:pPr>
              <w:spacing w:after="0"/>
              <w:rPr>
                <w:sz w:val="12"/>
                <w:szCs w:val="12"/>
                <w:color w:val="auto"/>
              </w:rPr>
            </w:pP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87.6</w:t>
            </w:r>
          </w:p>
        </w:tc>
        <w:tc>
          <w:tcPr>
            <w:tcW w:w="9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1,310,547</w:t>
            </w: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200,029</w:t>
            </w:r>
          </w:p>
        </w:tc>
        <w:tc>
          <w:tcPr>
            <w:tcW w:w="1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86.5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Net service</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shd w:val="clear" w:color="auto" w:fill="CCEEFF"/>
          </w:tcPr>
          <w:p>
            <w:pPr>
              <w:ind w:left="360"/>
              <w:spacing w:after="0" w:line="141" w:lineRule="exact"/>
              <w:rPr>
                <w:sz w:val="20"/>
                <w:szCs w:val="20"/>
                <w:color w:val="auto"/>
              </w:rPr>
            </w:pPr>
            <w:r>
              <w:rPr>
                <w:rFonts w:ascii="Arial" w:cs="Arial" w:eastAsia="Arial" w:hAnsi="Arial"/>
                <w:sz w:val="13"/>
                <w:szCs w:val="13"/>
                <w:color w:val="auto"/>
              </w:rPr>
              <w:t>revenues</w:t>
            </w:r>
          </w:p>
        </w:tc>
        <w:tc>
          <w:tcPr>
            <w:tcW w:w="8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11,597</w:t>
            </w:r>
          </w:p>
        </w:tc>
        <w:tc>
          <w:tcPr>
            <w:tcW w:w="6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0.4</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201,652</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5.1</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614,176</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93,742</w:t>
            </w: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12.6</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86,109</w:t>
            </w:r>
          </w:p>
        </w:tc>
        <w:tc>
          <w:tcPr>
            <w:tcW w:w="6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12.4</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203,884</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31,119</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net revenues</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3,261,520</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3,931,858</w:t>
            </w:r>
          </w:p>
        </w:tc>
        <w:tc>
          <w:tcPr>
            <w:tcW w:w="18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4,858,199</w:t>
            </w:r>
          </w:p>
        </w:tc>
        <w:tc>
          <w:tcPr>
            <w:tcW w:w="18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741,506</w:t>
            </w:r>
          </w:p>
        </w:tc>
        <w:tc>
          <w:tcPr>
            <w:tcW w:w="1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692,212</w:t>
            </w:r>
          </w:p>
        </w:tc>
        <w:tc>
          <w:tcPr>
            <w:tcW w:w="18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1,514,431</w:t>
            </w:r>
          </w:p>
        </w:tc>
        <w:tc>
          <w:tcPr>
            <w:tcW w:w="2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231,148</w:t>
            </w:r>
          </w:p>
        </w:tc>
        <w:tc>
          <w:tcPr>
            <w:tcW w:w="18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240"/>
              <w:spacing w:after="0" w:line="135" w:lineRule="exact"/>
              <w:rPr>
                <w:sz w:val="20"/>
                <w:szCs w:val="20"/>
                <w:color w:val="auto"/>
              </w:rPr>
            </w:pPr>
            <w:r>
              <w:rPr>
                <w:rFonts w:ascii="Arial" w:cs="Arial" w:eastAsia="Arial" w:hAnsi="Arial"/>
                <w:sz w:val="13"/>
                <w:szCs w:val="13"/>
                <w:color w:val="auto"/>
              </w:rPr>
              <w:t>Merchandise costs</w:t>
            </w: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(2,801,433)</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(85.9)</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(3,176,401)</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(80.8)</w:t>
            </w: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(3,610,434)</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(551,060)</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(74.3)</w:t>
            </w: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(500,800)</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(72.3)</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(1,095,696)</w:t>
            </w: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(167,236)</w:t>
            </w:r>
          </w:p>
        </w:tc>
        <w:tc>
          <w:tcPr>
            <w:tcW w:w="5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Fulfillment</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shd w:val="clear" w:color="auto" w:fill="CCEEFF"/>
          </w:tcPr>
          <w:p>
            <w:pPr>
              <w:ind w:left="360"/>
              <w:spacing w:after="0" w:line="141" w:lineRule="exact"/>
              <w:rPr>
                <w:sz w:val="20"/>
                <w:szCs w:val="20"/>
                <w:color w:val="auto"/>
              </w:rPr>
            </w:pPr>
            <w:r>
              <w:rPr>
                <w:rFonts w:ascii="Arial" w:cs="Arial" w:eastAsia="Arial" w:hAnsi="Arial"/>
                <w:sz w:val="13"/>
                <w:szCs w:val="13"/>
                <w:color w:val="auto"/>
              </w:rPr>
              <w:t>expenses</w:t>
            </w:r>
          </w:p>
        </w:tc>
        <w:tc>
          <w:tcPr>
            <w:tcW w:w="8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(353,969)</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(10.8)</w:t>
            </w:r>
          </w:p>
        </w:tc>
        <w:tc>
          <w:tcPr>
            <w:tcW w:w="9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(658,149)</w:t>
            </w:r>
          </w:p>
        </w:tc>
        <w:tc>
          <w:tcPr>
            <w:tcW w:w="6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(16.7)</w:t>
            </w:r>
          </w:p>
        </w:tc>
        <w:tc>
          <w:tcPr>
            <w:tcW w:w="9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(666,317)</w:t>
            </w:r>
          </w:p>
        </w:tc>
        <w:tc>
          <w:tcPr>
            <w:tcW w:w="7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(101,700)</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(13.7)</w:t>
            </w:r>
          </w:p>
        </w:tc>
        <w:tc>
          <w:tcPr>
            <w:tcW w:w="8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(157,954)</w:t>
            </w: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(22.8)</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(223,019)</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(34,039)</w:t>
            </w:r>
          </w:p>
        </w:tc>
        <w:tc>
          <w:tcPr>
            <w:tcW w:w="5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Selling and</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360"/>
              <w:spacing w:after="0" w:line="135" w:lineRule="exact"/>
              <w:rPr>
                <w:sz w:val="20"/>
                <w:szCs w:val="20"/>
                <w:color w:val="auto"/>
              </w:rPr>
            </w:pPr>
            <w:r>
              <w:rPr>
                <w:rFonts w:ascii="Arial" w:cs="Arial" w:eastAsia="Arial" w:hAnsi="Arial"/>
                <w:sz w:val="13"/>
                <w:szCs w:val="13"/>
                <w:color w:val="auto"/>
              </w:rPr>
              <w:t>marketing</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expenses</w:t>
            </w:r>
          </w:p>
        </w:tc>
        <w:tc>
          <w:tcPr>
            <w:tcW w:w="8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(237,562)</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(7.3)</w:t>
            </w:r>
          </w:p>
        </w:tc>
        <w:tc>
          <w:tcPr>
            <w:tcW w:w="9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(566,792)</w:t>
            </w:r>
          </w:p>
        </w:tc>
        <w:tc>
          <w:tcPr>
            <w:tcW w:w="6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(14.4)</w:t>
            </w:r>
          </w:p>
        </w:tc>
        <w:tc>
          <w:tcPr>
            <w:tcW w:w="9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(740,542)</w:t>
            </w:r>
          </w:p>
        </w:tc>
        <w:tc>
          <w:tcPr>
            <w:tcW w:w="78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(113,029)</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(15.2)</w:t>
            </w:r>
          </w:p>
        </w:tc>
        <w:tc>
          <w:tcPr>
            <w:tcW w:w="8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(144,150)</w:t>
            </w: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(20.8)</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(222,580)</w:t>
            </w:r>
          </w:p>
        </w:tc>
        <w:tc>
          <w:tcPr>
            <w:tcW w:w="8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(33,972)</w:t>
            </w:r>
          </w:p>
        </w:tc>
        <w:tc>
          <w:tcPr>
            <w:tcW w:w="5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General and</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administrative</w:t>
            </w: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shd w:val="clear" w:color="auto" w:fill="CCEEFF"/>
          </w:tcPr>
          <w:p>
            <w:pPr>
              <w:ind w:left="360"/>
              <w:spacing w:after="0" w:line="141" w:lineRule="exact"/>
              <w:rPr>
                <w:sz w:val="20"/>
                <w:szCs w:val="20"/>
                <w:color w:val="auto"/>
              </w:rPr>
            </w:pPr>
            <w:r>
              <w:rPr>
                <w:rFonts w:ascii="Arial" w:cs="Arial" w:eastAsia="Arial" w:hAnsi="Arial"/>
                <w:sz w:val="13"/>
                <w:szCs w:val="13"/>
                <w:color w:val="auto"/>
              </w:rPr>
              <w:t>expenses</w:t>
            </w:r>
          </w:p>
        </w:tc>
        <w:tc>
          <w:tcPr>
            <w:tcW w:w="88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(80,959)</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(2.5)</w:t>
            </w:r>
          </w:p>
        </w:tc>
        <w:tc>
          <w:tcPr>
            <w:tcW w:w="9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(140,874)</w:t>
            </w:r>
          </w:p>
        </w:tc>
        <w:tc>
          <w:tcPr>
            <w:tcW w:w="6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(3.6)</w:t>
            </w:r>
          </w:p>
        </w:tc>
        <w:tc>
          <w:tcPr>
            <w:tcW w:w="9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(177,542)</w:t>
            </w:r>
          </w:p>
        </w:tc>
        <w:tc>
          <w:tcPr>
            <w:tcW w:w="7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(27,098)</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(3.7)</w:t>
            </w:r>
          </w:p>
        </w:tc>
        <w:tc>
          <w:tcPr>
            <w:tcW w:w="80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(53,900)</w:t>
            </w: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(7.8)</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(29,408)</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(4,489)</w:t>
            </w:r>
          </w:p>
        </w:tc>
        <w:tc>
          <w:tcPr>
            <w:tcW w:w="5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Technology and</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content expenses</w:t>
            </w:r>
          </w:p>
        </w:tc>
        <w:tc>
          <w:tcPr>
            <w:tcW w:w="88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(65,759)</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(2.0)</w:t>
            </w:r>
          </w:p>
        </w:tc>
        <w:tc>
          <w:tcPr>
            <w:tcW w:w="9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(142,858)</w:t>
            </w:r>
          </w:p>
        </w:tc>
        <w:tc>
          <w:tcPr>
            <w:tcW w:w="6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(3.7)</w:t>
            </w:r>
          </w:p>
        </w:tc>
        <w:tc>
          <w:tcPr>
            <w:tcW w:w="9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(151,536)</w:t>
            </w:r>
          </w:p>
        </w:tc>
        <w:tc>
          <w:tcPr>
            <w:tcW w:w="78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(23,129)</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(3.1)</w:t>
            </w:r>
          </w:p>
        </w:tc>
        <w:tc>
          <w:tcPr>
            <w:tcW w:w="80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(40,165)</w:t>
            </w: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(5.8)</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(55,499)</w:t>
            </w:r>
          </w:p>
        </w:tc>
        <w:tc>
          <w:tcPr>
            <w:tcW w:w="8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(8,471)</w:t>
            </w:r>
          </w:p>
        </w:tc>
        <w:tc>
          <w:tcPr>
            <w:tcW w:w="5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6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Total operating</w:t>
            </w:r>
          </w:p>
        </w:tc>
        <w:tc>
          <w:tcPr>
            <w:tcW w:w="72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expense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(3,539,682)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(108.5)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(4,685,074)</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(119.2)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(5,346,371)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(816,016)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(896,969)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(1,626,202)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(248,207)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(107.4)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Other operating</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income</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21,701</w:t>
            </w:r>
          </w:p>
        </w:tc>
        <w:tc>
          <w:tcPr>
            <w:tcW w:w="16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0.6</w:t>
            </w:r>
          </w:p>
        </w:tc>
        <w:tc>
          <w:tcPr>
            <w:tcW w:w="16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21,410</w:t>
            </w:r>
          </w:p>
        </w:tc>
        <w:tc>
          <w:tcPr>
            <w:tcW w:w="18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3"/>
                <w:szCs w:val="13"/>
                <w:color w:val="auto"/>
              </w:rPr>
              <w:t>0.6</w:t>
            </w:r>
          </w:p>
        </w:tc>
        <w:tc>
          <w:tcPr>
            <w:tcW w:w="180" w:type="dxa"/>
            <w:vAlign w:val="bottom"/>
          </w:tcPr>
          <w:p>
            <w:pPr>
              <w:spacing w:after="0"/>
              <w:rPr>
                <w:sz w:val="12"/>
                <w:szCs w:val="12"/>
                <w:color w:val="auto"/>
              </w:rPr>
            </w:pPr>
          </w:p>
        </w:tc>
        <w:tc>
          <w:tcPr>
            <w:tcW w:w="9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29,395</w:t>
            </w:r>
          </w:p>
        </w:tc>
        <w:tc>
          <w:tcPr>
            <w:tcW w:w="7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4,487</w:t>
            </w:r>
          </w:p>
        </w:tc>
        <w:tc>
          <w:tcPr>
            <w:tcW w:w="460" w:type="dxa"/>
            <w:vAlign w:val="bottom"/>
          </w:tcPr>
          <w:p>
            <w:pPr>
              <w:jc w:val="right"/>
              <w:spacing w:after="0" w:line="141" w:lineRule="exact"/>
              <w:rPr>
                <w:sz w:val="20"/>
                <w:szCs w:val="20"/>
                <w:color w:val="auto"/>
              </w:rPr>
            </w:pPr>
            <w:r>
              <w:rPr>
                <w:rFonts w:ascii="Arial" w:cs="Arial" w:eastAsia="Arial" w:hAnsi="Arial"/>
                <w:sz w:val="13"/>
                <w:szCs w:val="13"/>
                <w:color w:val="auto"/>
              </w:rPr>
              <w:t>0.6</w:t>
            </w:r>
          </w:p>
        </w:tc>
        <w:tc>
          <w:tcPr>
            <w:tcW w:w="180" w:type="dxa"/>
            <w:vAlign w:val="bottom"/>
          </w:tcPr>
          <w:p>
            <w:pPr>
              <w:spacing w:after="0"/>
              <w:rPr>
                <w:sz w:val="12"/>
                <w:szCs w:val="12"/>
                <w:color w:val="auto"/>
              </w:rPr>
            </w:pPr>
          </w:p>
        </w:tc>
        <w:tc>
          <w:tcPr>
            <w:tcW w:w="8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5,811</w:t>
            </w: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0.8</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361</w:t>
            </w:r>
          </w:p>
        </w:tc>
        <w:tc>
          <w:tcPr>
            <w:tcW w:w="20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55</w:t>
            </w:r>
          </w:p>
        </w:tc>
        <w:tc>
          <w:tcPr>
            <w:tcW w:w="1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Loss from operations</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(256,461)</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(7.9)</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(731,806)</w:t>
            </w:r>
          </w:p>
        </w:tc>
        <w:tc>
          <w:tcPr>
            <w:tcW w:w="6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(18.6)</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(458,777)</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(70,023)</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(9.4)</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(198,946)</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(28.7)</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(111,410)</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(17,004)</w:t>
            </w:r>
          </w:p>
        </w:tc>
        <w:tc>
          <w:tcPr>
            <w:tcW w:w="5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(7.4)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tcPr>
          <w:p>
            <w:pPr>
              <w:ind w:left="240"/>
              <w:spacing w:after="0"/>
              <w:rPr>
                <w:sz w:val="20"/>
                <w:szCs w:val="20"/>
                <w:color w:val="auto"/>
              </w:rPr>
            </w:pPr>
            <w:r>
              <w:rPr>
                <w:rFonts w:ascii="Arial" w:cs="Arial" w:eastAsia="Arial" w:hAnsi="Arial"/>
                <w:sz w:val="13"/>
                <w:szCs w:val="13"/>
                <w:color w:val="auto"/>
              </w:rPr>
              <w:t>Interest expense</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(6,536)</w:t>
            </w: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(0.2)</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(12,397)</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(0.3)</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(21,090)</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(3,219)</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(0.5)</w:t>
            </w: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(3,535)</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(0.5)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(6,552)</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(1,000)</w:t>
            </w: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816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1"/>
                <w:szCs w:val="11"/>
                <w:b w:val="1"/>
                <w:bCs w:val="1"/>
                <w:color w:val="auto"/>
              </w:rPr>
              <w:t>For the Year Ended December 31,</w:t>
            </w: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1"/>
                <w:szCs w:val="11"/>
                <w:b w:val="1"/>
                <w:bCs w:val="1"/>
                <w:color w:val="auto"/>
                <w:w w:val="99"/>
              </w:rPr>
              <w:t>For the Three Months Ended March 31,</w:t>
            </w: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b w:val="1"/>
                <w:bCs w:val="1"/>
                <w:color w:val="auto"/>
              </w:rPr>
              <w:t>2019</w:t>
            </w:r>
          </w:p>
        </w:tc>
        <w:tc>
          <w:tcPr>
            <w:tcW w:w="3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38"/>
              <w:spacing w:after="0"/>
              <w:rPr>
                <w:sz w:val="20"/>
                <w:szCs w:val="20"/>
                <w:color w:val="auto"/>
              </w:rPr>
            </w:pPr>
            <w:r>
              <w:rPr>
                <w:rFonts w:ascii="Arial" w:cs="Arial" w:eastAsia="Arial" w:hAnsi="Arial"/>
                <w:sz w:val="11"/>
                <w:szCs w:val="11"/>
                <w:b w:val="1"/>
                <w:bCs w:val="1"/>
                <w:color w:val="auto"/>
              </w:rPr>
              <w:t>2021</w:t>
            </w: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20" w:type="dxa"/>
            <w:vAlign w:val="bottom"/>
            <w:tcBorders>
              <w:bottom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RMB</w:t>
            </w:r>
          </w:p>
        </w:tc>
        <w:tc>
          <w:tcPr>
            <w:tcW w:w="300" w:type="dxa"/>
            <w:vAlign w:val="bottom"/>
            <w:tcBorders>
              <w:bottom w:val="single" w:sz="8" w:color="auto"/>
            </w:tcBorders>
          </w:tcPr>
          <w:p>
            <w:pPr>
              <w:jc w:val="right"/>
              <w:ind w:right="38"/>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360" w:type="dxa"/>
            <w:vAlign w:val="bottom"/>
            <w:tcBorders>
              <w:bottom w:val="single" w:sz="8" w:color="auto"/>
            </w:tcBorders>
          </w:tcPr>
          <w:p>
            <w:pPr>
              <w:jc w:val="right"/>
              <w:ind w:right="79"/>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RMB</w:t>
            </w: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US$</w:t>
            </w:r>
          </w:p>
        </w:tc>
        <w:tc>
          <w:tcPr>
            <w:tcW w:w="380" w:type="dxa"/>
            <w:vAlign w:val="bottom"/>
            <w:tcBorders>
              <w:bottom w:val="single" w:sz="8" w:color="auto"/>
            </w:tcBorders>
          </w:tcPr>
          <w:p>
            <w:pPr>
              <w:jc w:val="right"/>
              <w:ind w:right="78"/>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2"/>
          </w:tcPr>
          <w:p>
            <w:pPr>
              <w:jc w:val="right"/>
              <w:ind w:right="340"/>
              <w:spacing w:after="0" w:line="115" w:lineRule="exact"/>
              <w:rPr>
                <w:sz w:val="20"/>
                <w:szCs w:val="20"/>
                <w:color w:val="auto"/>
              </w:rPr>
            </w:pPr>
            <w:r>
              <w:rPr>
                <w:rFonts w:ascii="Arial" w:cs="Arial" w:eastAsia="Arial" w:hAnsi="Arial"/>
                <w:sz w:val="11"/>
                <w:szCs w:val="11"/>
                <w:b w:val="1"/>
                <w:bCs w:val="1"/>
                <w:color w:val="auto"/>
              </w:rPr>
              <w:t>RMB</w:t>
            </w:r>
          </w:p>
        </w:tc>
        <w:tc>
          <w:tcPr>
            <w:tcW w:w="480" w:type="dxa"/>
            <w:vAlign w:val="bottom"/>
            <w:tcBorders>
              <w:bottom w:val="single" w:sz="8" w:color="auto"/>
            </w:tcBorders>
            <w:gridSpan w:val="2"/>
          </w:tcPr>
          <w:p>
            <w:pPr>
              <w:jc w:val="right"/>
              <w:ind w:right="77"/>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2"/>
          </w:tcPr>
          <w:p>
            <w:pPr>
              <w:jc w:val="right"/>
              <w:ind w:right="460"/>
              <w:spacing w:after="0" w:line="115" w:lineRule="exact"/>
              <w:rPr>
                <w:sz w:val="20"/>
                <w:szCs w:val="20"/>
                <w:color w:val="auto"/>
              </w:rPr>
            </w:pPr>
            <w:r>
              <w:rPr>
                <w:rFonts w:ascii="Arial" w:cs="Arial" w:eastAsia="Arial" w:hAnsi="Arial"/>
                <w:sz w:val="11"/>
                <w:szCs w:val="11"/>
                <w:b w:val="1"/>
                <w:bCs w:val="1"/>
                <w:color w:val="auto"/>
              </w:rPr>
              <w:t>RMB</w:t>
            </w:r>
          </w:p>
        </w:tc>
        <w:tc>
          <w:tcPr>
            <w:tcW w:w="980" w:type="dxa"/>
            <w:vAlign w:val="bottom"/>
            <w:tcBorders>
              <w:bottom w:val="single" w:sz="8" w:color="auto"/>
            </w:tcBorders>
            <w:gridSpan w:val="2"/>
          </w:tcPr>
          <w:p>
            <w:pPr>
              <w:jc w:val="right"/>
              <w:ind w:right="480"/>
              <w:spacing w:after="0" w:line="115" w:lineRule="exact"/>
              <w:rPr>
                <w:sz w:val="20"/>
                <w:szCs w:val="20"/>
                <w:color w:val="auto"/>
              </w:rPr>
            </w:pPr>
            <w:r>
              <w:rPr>
                <w:rFonts w:ascii="Arial" w:cs="Arial" w:eastAsia="Arial" w:hAnsi="Arial"/>
                <w:sz w:val="11"/>
                <w:szCs w:val="11"/>
                <w:b w:val="1"/>
                <w:bCs w:val="1"/>
                <w:color w:val="auto"/>
              </w:rPr>
              <w:t>US$</w:t>
            </w:r>
          </w:p>
        </w:tc>
        <w:tc>
          <w:tcPr>
            <w:tcW w:w="320" w:type="dxa"/>
            <w:vAlign w:val="bottom"/>
            <w:tcBorders>
              <w:bottom w:val="single" w:sz="8" w:color="auto"/>
            </w:tcBorders>
          </w:tcPr>
          <w:p>
            <w:pPr>
              <w:jc w:val="right"/>
              <w:ind w:right="58"/>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60" w:type="dxa"/>
            <w:vAlign w:val="bottom"/>
            <w:gridSpan w:val="13"/>
          </w:tcPr>
          <w:p>
            <w:pPr>
              <w:jc w:val="right"/>
              <w:ind w:right="340"/>
              <w:spacing w:after="0" w:line="115" w:lineRule="exact"/>
              <w:rPr>
                <w:sz w:val="20"/>
                <w:szCs w:val="20"/>
                <w:color w:val="auto"/>
              </w:rPr>
            </w:pPr>
            <w:r>
              <w:rPr>
                <w:rFonts w:ascii="Arial" w:cs="Arial" w:eastAsia="Arial" w:hAnsi="Arial"/>
                <w:sz w:val="11"/>
                <w:szCs w:val="11"/>
                <w:b w:val="1"/>
                <w:bCs w:val="1"/>
                <w:color w:val="auto"/>
              </w:rPr>
              <w:t>(in thousands, except for percentages, share numbers and per share data)</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Interest income</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8,273</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7,813</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9,321</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1,423</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1,910</w:t>
            </w: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3,420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522</w:t>
            </w:r>
          </w:p>
        </w:tc>
        <w:tc>
          <w:tcPr>
            <w:tcW w:w="2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Fair value change</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360"/>
              <w:spacing w:after="0" w:line="135" w:lineRule="exact"/>
              <w:rPr>
                <w:sz w:val="20"/>
                <w:szCs w:val="20"/>
                <w:color w:val="auto"/>
              </w:rPr>
            </w:pPr>
            <w:r>
              <w:rPr>
                <w:rFonts w:ascii="Arial" w:cs="Arial" w:eastAsia="Arial" w:hAnsi="Arial"/>
                <w:sz w:val="13"/>
                <w:szCs w:val="13"/>
                <w:color w:val="auto"/>
              </w:rPr>
              <w:t>in warrant</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liabilities</w:t>
            </w:r>
          </w:p>
        </w:tc>
        <w:tc>
          <w:tcPr>
            <w:tcW w:w="9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23,781</w:t>
            </w: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0.7</w:t>
            </w:r>
          </w:p>
        </w:tc>
        <w:tc>
          <w:tcPr>
            <w:tcW w:w="160" w:type="dxa"/>
            <w:vAlign w:val="bottom"/>
          </w:tcPr>
          <w:p>
            <w:pPr>
              <w:spacing w:after="0"/>
              <w:rPr>
                <w:sz w:val="12"/>
                <w:szCs w:val="12"/>
                <w:color w:val="auto"/>
              </w:rPr>
            </w:pPr>
          </w:p>
        </w:tc>
        <w:tc>
          <w:tcPr>
            <w:tcW w:w="94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Other income</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shd w:val="clear" w:color="auto" w:fill="CCEEFF"/>
          </w:tcPr>
          <w:p>
            <w:pPr>
              <w:ind w:left="360"/>
              <w:spacing w:after="0" w:line="141" w:lineRule="exact"/>
              <w:rPr>
                <w:sz w:val="20"/>
                <w:szCs w:val="20"/>
                <w:color w:val="auto"/>
              </w:rPr>
            </w:pPr>
            <w:r>
              <w:rPr>
                <w:rFonts w:ascii="Arial" w:cs="Arial" w:eastAsia="Arial" w:hAnsi="Arial"/>
                <w:sz w:val="13"/>
                <w:szCs w:val="13"/>
                <w:color w:val="auto"/>
              </w:rPr>
              <w:t>(loss), net</w:t>
            </w:r>
          </w:p>
        </w:tc>
        <w:tc>
          <w:tcPr>
            <w:tcW w:w="92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21,579</w:t>
            </w: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0.7</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3,581</w:t>
            </w:r>
          </w:p>
        </w:tc>
        <w:tc>
          <w:tcPr>
            <w:tcW w:w="5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0.1</w:t>
            </w: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(39,866)</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(6,085)</w:t>
            </w:r>
          </w:p>
        </w:tc>
        <w:tc>
          <w:tcPr>
            <w:tcW w:w="5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(0.8)</w:t>
            </w: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6,559</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0.9</w:t>
            </w: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914</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140</w:t>
            </w: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Loss before taxes</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(209,364)</w:t>
            </w:r>
          </w:p>
        </w:tc>
        <w:tc>
          <w:tcPr>
            <w:tcW w:w="1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(6.4)</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(732,809)</w:t>
            </w:r>
          </w:p>
        </w:tc>
        <w:tc>
          <w:tcPr>
            <w:tcW w:w="18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9"/>
              </w:rPr>
              <w:t>(18.6)</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(510,412)</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(77,904)</w:t>
            </w: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(10.5)</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(194,012)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(28.0)</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(113,628)</w:t>
            </w:r>
          </w:p>
        </w:tc>
        <w:tc>
          <w:tcPr>
            <w:tcW w:w="20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(17,342)</w:t>
            </w:r>
          </w:p>
        </w:tc>
        <w:tc>
          <w:tcPr>
            <w:tcW w:w="20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Income tax benefits</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1,922</w:t>
            </w: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30,120</w:t>
            </w:r>
          </w:p>
        </w:tc>
        <w:tc>
          <w:tcPr>
            <w:tcW w:w="5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0.8</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47,320</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7,222</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12,028</w:t>
            </w: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w:t>
            </w: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19,459</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2,970</w:t>
            </w:r>
          </w:p>
        </w:tc>
        <w:tc>
          <w:tcPr>
            <w:tcW w:w="4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Pr>
          <w:p>
            <w:pPr>
              <w:ind w:left="240"/>
              <w:spacing w:after="0" w:line="129" w:lineRule="exact"/>
              <w:rPr>
                <w:sz w:val="20"/>
                <w:szCs w:val="20"/>
                <w:color w:val="auto"/>
              </w:rPr>
            </w:pPr>
            <w:r>
              <w:rPr>
                <w:rFonts w:ascii="Arial" w:cs="Arial" w:eastAsia="Arial" w:hAnsi="Arial"/>
                <w:sz w:val="13"/>
                <w:szCs w:val="13"/>
                <w:color w:val="auto"/>
              </w:rPr>
              <w:t>Share of loss in</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360"/>
              <w:spacing w:after="0" w:line="135" w:lineRule="exact"/>
              <w:rPr>
                <w:sz w:val="20"/>
                <w:szCs w:val="20"/>
                <w:color w:val="auto"/>
              </w:rPr>
            </w:pPr>
            <w:r>
              <w:rPr>
                <w:rFonts w:ascii="Arial" w:cs="Arial" w:eastAsia="Arial" w:hAnsi="Arial"/>
                <w:sz w:val="13"/>
                <w:szCs w:val="13"/>
                <w:color w:val="auto"/>
              </w:rPr>
              <w:t>equity method</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tcPr>
          <w:p>
            <w:pPr>
              <w:ind w:left="360"/>
              <w:spacing w:after="0" w:line="141" w:lineRule="exact"/>
              <w:rPr>
                <w:sz w:val="20"/>
                <w:szCs w:val="20"/>
                <w:color w:val="auto"/>
              </w:rPr>
            </w:pPr>
            <w:r>
              <w:rPr>
                <w:rFonts w:ascii="Arial" w:cs="Arial" w:eastAsia="Arial" w:hAnsi="Arial"/>
                <w:sz w:val="13"/>
                <w:szCs w:val="13"/>
                <w:color w:val="auto"/>
              </w:rPr>
              <w:t>investments</w:t>
            </w:r>
          </w:p>
        </w:tc>
        <w:tc>
          <w:tcPr>
            <w:tcW w:w="9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(499)</w:t>
            </w:r>
          </w:p>
        </w:tc>
        <w:tc>
          <w:tcPr>
            <w:tcW w:w="300" w:type="dxa"/>
            <w:vAlign w:val="bottom"/>
          </w:tcPr>
          <w:p>
            <w:pPr>
              <w:jc w:val="right"/>
              <w:spacing w:after="0" w:line="141" w:lineRule="exact"/>
              <w:rPr>
                <w:sz w:val="20"/>
                <w:szCs w:val="20"/>
                <w:color w:val="auto"/>
              </w:rPr>
            </w:pPr>
            <w:r>
              <w:rPr>
                <w:rFonts w:ascii="Arial" w:cs="Arial" w:eastAsia="Arial" w:hAnsi="Arial"/>
                <w:sz w:val="13"/>
                <w:szCs w:val="13"/>
                <w:color w:val="auto"/>
              </w:rPr>
              <w:t>0.0</w:t>
            </w:r>
          </w:p>
        </w:tc>
        <w:tc>
          <w:tcPr>
            <w:tcW w:w="160" w:type="dxa"/>
            <w:vAlign w:val="bottom"/>
          </w:tcPr>
          <w:p>
            <w:pPr>
              <w:spacing w:after="0"/>
              <w:rPr>
                <w:sz w:val="12"/>
                <w:szCs w:val="12"/>
                <w:color w:val="auto"/>
              </w:rPr>
            </w:pP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(2,199)</w:t>
            </w:r>
          </w:p>
        </w:tc>
        <w:tc>
          <w:tcPr>
            <w:tcW w:w="5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(0.1)</w:t>
            </w:r>
          </w:p>
        </w:tc>
        <w:tc>
          <w:tcPr>
            <w:tcW w:w="9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(7,526)</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(1,149)</w:t>
            </w: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(0.2)</w:t>
            </w:r>
          </w:p>
        </w:tc>
        <w:tc>
          <w:tcPr>
            <w:tcW w:w="84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(4,281)</w:t>
            </w:r>
          </w:p>
        </w:tc>
        <w:tc>
          <w:tcPr>
            <w:tcW w:w="66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(0.6)</w:t>
            </w:r>
          </w:p>
        </w:tc>
        <w:tc>
          <w:tcPr>
            <w:tcW w:w="98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(612)</w:t>
            </w:r>
          </w:p>
        </w:tc>
        <w:tc>
          <w:tcPr>
            <w:tcW w:w="9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(93)</w:t>
            </w:r>
          </w:p>
        </w:tc>
        <w:tc>
          <w:tcPr>
            <w:tcW w:w="4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loss</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(207,941)</w:t>
            </w:r>
          </w:p>
        </w:tc>
        <w:tc>
          <w:tcPr>
            <w:tcW w:w="4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(6.4)</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(704,888)</w:t>
            </w:r>
          </w:p>
        </w:tc>
        <w:tc>
          <w:tcPr>
            <w:tcW w:w="5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(17.9)</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b w:val="1"/>
                <w:bCs w:val="1"/>
                <w:color w:val="auto"/>
              </w:rPr>
              <w:t>(470,618)</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(71,831)</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(9.7)</w:t>
            </w: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(186,265)</w:t>
            </w:r>
          </w:p>
        </w:tc>
        <w:tc>
          <w:tcPr>
            <w:tcW w:w="6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(26.9)</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(94,781)</w:t>
            </w: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(14,465)</w:t>
            </w:r>
          </w:p>
        </w:tc>
        <w:tc>
          <w:tcPr>
            <w:tcW w:w="4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spacing w:after="0" w:line="148" w:lineRule="exact"/>
              <w:rPr>
                <w:sz w:val="20"/>
                <w:szCs w:val="20"/>
                <w:color w:val="auto"/>
              </w:rPr>
            </w:pPr>
            <w:r>
              <w:rPr>
                <w:rFonts w:ascii="Arial" w:cs="Arial" w:eastAsia="Arial" w:hAnsi="Arial"/>
                <w:sz w:val="13"/>
                <w:szCs w:val="13"/>
                <w:b w:val="1"/>
                <w:bCs w:val="1"/>
                <w:color w:val="auto"/>
              </w:rPr>
              <w:t>Net loss per share</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4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attributable to</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ordinary</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tcPr>
          <w:p>
            <w:pPr>
              <w:ind w:left="120"/>
              <w:spacing w:after="0"/>
              <w:rPr>
                <w:sz w:val="20"/>
                <w:szCs w:val="20"/>
                <w:color w:val="auto"/>
              </w:rPr>
            </w:pPr>
            <w:r>
              <w:rPr>
                <w:rFonts w:ascii="Arial" w:cs="Arial" w:eastAsia="Arial" w:hAnsi="Arial"/>
                <w:sz w:val="13"/>
                <w:szCs w:val="13"/>
                <w:b w:val="1"/>
                <w:bCs w:val="1"/>
                <w:color w:val="auto"/>
              </w:rPr>
              <w:t>shareholders: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Basic</w:t>
            </w: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(55.98)</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(84.27)</w:t>
            </w: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(94.51)</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(14.43)</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(27.28)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(32.13)</w:t>
            </w: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(4.90)</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240"/>
              <w:spacing w:after="0" w:line="135" w:lineRule="exact"/>
              <w:rPr>
                <w:sz w:val="20"/>
                <w:szCs w:val="20"/>
                <w:color w:val="auto"/>
              </w:rPr>
            </w:pPr>
            <w:r>
              <w:rPr>
                <w:rFonts w:ascii="Arial" w:cs="Arial" w:eastAsia="Arial" w:hAnsi="Arial"/>
                <w:sz w:val="13"/>
                <w:szCs w:val="13"/>
                <w:color w:val="auto"/>
              </w:rPr>
              <w:t>Diluted</w:t>
            </w: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(55.98)</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(84.27)</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(94.51)</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(14.43)</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(27.28)</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(32.13)</w:t>
            </w: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(4.90)</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6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Weighted average</w:t>
            </w:r>
          </w:p>
        </w:tc>
        <w:tc>
          <w:tcPr>
            <w:tcW w:w="7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number of shares</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used in calculating</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net loss per ordinary</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share</w:t>
            </w: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ind w:left="240"/>
              <w:spacing w:after="0" w:line="135" w:lineRule="exact"/>
              <w:rPr>
                <w:sz w:val="20"/>
                <w:szCs w:val="20"/>
                <w:color w:val="auto"/>
              </w:rPr>
            </w:pPr>
            <w:r>
              <w:rPr>
                <w:rFonts w:ascii="Arial" w:cs="Arial" w:eastAsia="Arial" w:hAnsi="Arial"/>
                <w:sz w:val="13"/>
                <w:szCs w:val="13"/>
                <w:color w:val="auto"/>
              </w:rPr>
              <w:t>Basic</w:t>
            </w: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19,405,981</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18,782,620</w:t>
            </w:r>
          </w:p>
        </w:tc>
        <w:tc>
          <w:tcPr>
            <w:tcW w:w="16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18,782,620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Diluted</w:t>
            </w: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19,405,981</w:t>
            </w: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18,782,620</w:t>
            </w:r>
          </w:p>
        </w:tc>
        <w:tc>
          <w:tcPr>
            <w:tcW w:w="1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18,782,620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460" w:type="dxa"/>
            <w:vAlign w:val="bottom"/>
          </w:tcPr>
          <w:p>
            <w:pPr>
              <w:spacing w:after="0" w:line="113" w:lineRule="exact"/>
              <w:rPr>
                <w:sz w:val="20"/>
                <w:szCs w:val="20"/>
                <w:color w:val="auto"/>
              </w:rPr>
            </w:pPr>
            <w:r>
              <w:rPr>
                <w:rFonts w:ascii="Arial" w:cs="Arial" w:eastAsia="Arial" w:hAnsi="Arial"/>
                <w:sz w:val="13"/>
                <w:szCs w:val="13"/>
                <w:b w:val="1"/>
                <w:bCs w:val="1"/>
                <w:color w:val="auto"/>
              </w:rPr>
              <w:t>Non-GAAP financial</w:t>
            </w: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460" w:type="dxa"/>
            <w:vAlign w:val="bottom"/>
          </w:tcPr>
          <w:p>
            <w:pPr>
              <w:ind w:left="120"/>
              <w:spacing w:after="0"/>
              <w:rPr>
                <w:sz w:val="20"/>
                <w:szCs w:val="20"/>
                <w:color w:val="auto"/>
              </w:rPr>
            </w:pPr>
            <w:r>
              <w:rPr>
                <w:rFonts w:ascii="Arial" w:cs="Arial" w:eastAsia="Arial" w:hAnsi="Arial"/>
                <w:sz w:val="13"/>
                <w:szCs w:val="13"/>
                <w:b w:val="1"/>
                <w:bCs w:val="1"/>
                <w:color w:val="auto"/>
              </w:rPr>
              <w:t>measures</w:t>
            </w:r>
            <w:r>
              <w:rPr>
                <w:rFonts w:ascii="Arial" w:cs="Arial" w:eastAsia="Arial" w:hAnsi="Arial"/>
                <w:sz w:val="10"/>
                <w:szCs w:val="10"/>
                <w:b w:val="1"/>
                <w:bCs w:val="1"/>
                <w:color w:val="auto"/>
              </w:rPr>
              <w:t>(1)</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Adjusted loss from</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6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operations</w:t>
            </w:r>
          </w:p>
        </w:tc>
        <w:tc>
          <w:tcPr>
            <w:tcW w:w="9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(232,798)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(535,178)</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(143,654)</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(21,926)</w:t>
            </w: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(118,846)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(33,572)</w:t>
            </w:r>
          </w:p>
        </w:tc>
        <w:tc>
          <w:tcPr>
            <w:tcW w:w="9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(5,124)</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460" w:type="dxa"/>
            <w:vAlign w:val="bottom"/>
          </w:tcPr>
          <w:p>
            <w:pPr>
              <w:spacing w:after="0"/>
              <w:rPr>
                <w:sz w:val="20"/>
                <w:szCs w:val="20"/>
                <w:color w:val="auto"/>
              </w:rPr>
            </w:pPr>
            <w:r>
              <w:rPr>
                <w:rFonts w:ascii="Arial" w:cs="Arial" w:eastAsia="Arial" w:hAnsi="Arial"/>
                <w:sz w:val="13"/>
                <w:szCs w:val="13"/>
                <w:color w:val="auto"/>
              </w:rPr>
              <w:t>Adjusted net loss</w:t>
            </w: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(209,981)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(538,380)</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(202,815)</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(30,956)</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(118,193)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(36,402)</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(5,555)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820" w:hanging="522"/>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See “—Non-GAAP Financial Measures.”</w:t>
      </w:r>
    </w:p>
    <w:p>
      <w:pPr>
        <w:spacing w:after="0" w:line="211" w:lineRule="exact"/>
        <w:rPr>
          <w:sz w:val="20"/>
          <w:szCs w:val="20"/>
          <w:color w:val="auto"/>
        </w:rPr>
      </w:pPr>
    </w:p>
    <w:p>
      <w:pPr>
        <w:ind w:left="300" w:right="360" w:firstLine="532"/>
        <w:spacing w:after="0" w:line="246" w:lineRule="auto"/>
        <w:rPr>
          <w:sz w:val="20"/>
          <w:szCs w:val="20"/>
          <w:color w:val="auto"/>
        </w:rPr>
      </w:pPr>
      <w:r>
        <w:rPr>
          <w:rFonts w:ascii="Arial" w:cs="Arial" w:eastAsia="Arial" w:hAnsi="Arial"/>
          <w:sz w:val="18"/>
          <w:szCs w:val="18"/>
          <w:color w:val="auto"/>
        </w:rPr>
        <w:t>The following table presents our summary consolidated balance sheet data as of December 31, 2018, 2019, 2020 and March 31,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3"/>
          </w:tcPr>
          <w:p>
            <w:pPr>
              <w:ind w:left="580"/>
              <w:spacing w:after="0"/>
              <w:rPr>
                <w:sz w:val="20"/>
                <w:szCs w:val="20"/>
                <w:color w:val="auto"/>
              </w:rPr>
            </w:pPr>
            <w:r>
              <w:rPr>
                <w:rFonts w:ascii="Arial" w:cs="Arial" w:eastAsia="Arial" w:hAnsi="Arial"/>
                <w:sz w:val="14"/>
                <w:szCs w:val="14"/>
                <w:b w:val="1"/>
                <w:bCs w:val="1"/>
                <w:color w:val="auto"/>
              </w:rPr>
              <w:t>As of March 31,</w:t>
            </w:r>
          </w:p>
        </w:tc>
      </w:tr>
      <w:tr>
        <w:trPr>
          <w:trHeight w:val="155"/>
        </w:trPr>
        <w:tc>
          <w:tcPr>
            <w:tcW w:w="1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94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56"/>
        </w:trPr>
        <w:tc>
          <w:tcPr>
            <w:tcW w:w="1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RMB</w:t>
            </w:r>
          </w:p>
        </w:tc>
        <w:tc>
          <w:tcPr>
            <w:tcW w:w="86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RMB</w:t>
            </w: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3"/>
                <w:szCs w:val="13"/>
                <w:color w:val="auto"/>
              </w:rPr>
            </w:pPr>
          </w:p>
        </w:tc>
      </w:tr>
      <w:tr>
        <w:trPr>
          <w:trHeight w:val="155"/>
        </w:trPr>
        <w:tc>
          <w:tcPr>
            <w:tcW w:w="1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3"/>
          </w:tcPr>
          <w:p>
            <w:pPr>
              <w:jc w:val="right"/>
              <w:ind w:right="700"/>
              <w:spacing w:after="0" w:line="155" w:lineRule="exact"/>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3"/>
        </w:trPr>
        <w:tc>
          <w:tcPr>
            <w:tcW w:w="18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665,560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410,783</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918,076</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140,126</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657,218</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100,311</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Total current assets</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1,059,530</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1,094,908</w:t>
            </w:r>
          </w:p>
        </w:tc>
        <w:tc>
          <w:tcPr>
            <w:tcW w:w="140" w:type="dxa"/>
            <w:vAlign w:val="bottom"/>
          </w:tcPr>
          <w:p>
            <w:pPr>
              <w:spacing w:after="0"/>
              <w:rPr>
                <w:sz w:val="17"/>
                <w:szCs w:val="17"/>
                <w:color w:val="auto"/>
              </w:rPr>
            </w:pPr>
          </w:p>
        </w:tc>
        <w:tc>
          <w:tcPr>
            <w:tcW w:w="13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1,874,638</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286,126</w:t>
            </w:r>
          </w:p>
        </w:tc>
        <w:tc>
          <w:tcPr>
            <w:tcW w:w="160" w:type="dxa"/>
            <w:vAlign w:val="bottom"/>
          </w:tcPr>
          <w:p>
            <w:pPr>
              <w:spacing w:after="0"/>
              <w:rPr>
                <w:sz w:val="17"/>
                <w:szCs w:val="17"/>
                <w:color w:val="auto"/>
              </w:rPr>
            </w:pPr>
          </w:p>
        </w:tc>
        <w:tc>
          <w:tcPr>
            <w:tcW w:w="13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1,871,923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285,711</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1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18,991</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1,682,963</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1,367,841</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208,773</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1,290,002</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196,893</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1,803,415</w:t>
            </w:r>
          </w:p>
        </w:tc>
        <w:tc>
          <w:tcPr>
            <w:tcW w:w="140" w:type="dxa"/>
            <w:vAlign w:val="bottom"/>
          </w:tcPr>
          <w:p>
            <w:pPr>
              <w:spacing w:after="0"/>
              <w:rPr>
                <w:sz w:val="17"/>
                <w:szCs w:val="17"/>
                <w:color w:val="auto"/>
              </w:rPr>
            </w:pPr>
          </w:p>
        </w:tc>
        <w:tc>
          <w:tcPr>
            <w:tcW w:w="13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1,803,415</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275,255</w:t>
            </w:r>
          </w:p>
        </w:tc>
        <w:tc>
          <w:tcPr>
            <w:tcW w:w="160" w:type="dxa"/>
            <w:vAlign w:val="bottom"/>
          </w:tcPr>
          <w:p>
            <w:pPr>
              <w:spacing w:after="0"/>
              <w:rPr>
                <w:sz w:val="17"/>
                <w:szCs w:val="17"/>
                <w:color w:val="auto"/>
              </w:rPr>
            </w:pPr>
          </w:p>
        </w:tc>
        <w:tc>
          <w:tcPr>
            <w:tcW w:w="13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1,803,415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275,255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non-current assets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170,945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3,690,539</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3,351,700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511,569</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3,279,697</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500,580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1,230,475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4,785,447</w:t>
            </w:r>
          </w:p>
        </w:tc>
        <w:tc>
          <w:tcPr>
            <w:tcW w:w="140" w:type="dxa"/>
            <w:vAlign w:val="bottom"/>
          </w:tcPr>
          <w:p>
            <w:pPr>
              <w:spacing w:after="0"/>
              <w:rPr>
                <w:sz w:val="17"/>
                <w:szCs w:val="17"/>
                <w:color w:val="auto"/>
              </w:rPr>
            </w:pPr>
          </w:p>
        </w:tc>
        <w:tc>
          <w:tcPr>
            <w:tcW w:w="13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5,226,338</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797,695</w:t>
            </w:r>
          </w:p>
        </w:tc>
        <w:tc>
          <w:tcPr>
            <w:tcW w:w="160" w:type="dxa"/>
            <w:vAlign w:val="bottom"/>
          </w:tcPr>
          <w:p>
            <w:pPr>
              <w:spacing w:after="0"/>
              <w:rPr>
                <w:sz w:val="17"/>
                <w:szCs w:val="17"/>
                <w:color w:val="auto"/>
              </w:rPr>
            </w:pPr>
          </w:p>
        </w:tc>
        <w:tc>
          <w:tcPr>
            <w:tcW w:w="13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5,151,620</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786,291</w:t>
            </w:r>
          </w:p>
        </w:tc>
        <w:tc>
          <w:tcPr>
            <w:tcW w:w="200" w:type="dxa"/>
            <w:vAlign w:val="bottom"/>
          </w:tcPr>
          <w:p>
            <w:pPr>
              <w:spacing w:after="0"/>
              <w:rPr>
                <w:sz w:val="17"/>
                <w:szCs w:val="17"/>
                <w:color w:val="auto"/>
              </w:rPr>
            </w:pPr>
          </w:p>
        </w:tc>
      </w:tr>
      <w:tr>
        <w:trPr>
          <w:trHeight w:val="202"/>
        </w:trPr>
        <w:tc>
          <w:tcPr>
            <w:tcW w:w="18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590,702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755,093</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1,183,539</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180,643</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1,079,737</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164,800</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tcPr>
          <w:p>
            <w:pPr>
              <w:spacing w:after="0" w:line="202" w:lineRule="exact"/>
              <w:rPr>
                <w:sz w:val="20"/>
                <w:szCs w:val="20"/>
                <w:color w:val="auto"/>
              </w:rPr>
            </w:pPr>
            <w:r>
              <w:rPr>
                <w:rFonts w:ascii="Arial" w:cs="Arial" w:eastAsia="Arial" w:hAnsi="Arial"/>
                <w:sz w:val="18"/>
                <w:szCs w:val="18"/>
                <w:color w:val="auto"/>
              </w:rPr>
              <w:t>Total non-current liabilities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3,466</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389,280</w:t>
            </w:r>
          </w:p>
        </w:tc>
        <w:tc>
          <w:tcPr>
            <w:tcW w:w="140" w:type="dxa"/>
            <w:vAlign w:val="bottom"/>
          </w:tcPr>
          <w:p>
            <w:pPr>
              <w:spacing w:after="0"/>
              <w:rPr>
                <w:sz w:val="17"/>
                <w:szCs w:val="17"/>
                <w:color w:val="auto"/>
              </w:rPr>
            </w:pPr>
          </w:p>
        </w:tc>
        <w:tc>
          <w:tcPr>
            <w:tcW w:w="1320" w:type="dxa"/>
            <w:vAlign w:val="bottom"/>
          </w:tcPr>
          <w:p>
            <w:pPr>
              <w:jc w:val="right"/>
              <w:ind w:right="214"/>
              <w:spacing w:after="0" w:line="202" w:lineRule="exact"/>
              <w:rPr>
                <w:sz w:val="20"/>
                <w:szCs w:val="20"/>
                <w:color w:val="auto"/>
              </w:rPr>
            </w:pPr>
            <w:r>
              <w:rPr>
                <w:rFonts w:ascii="Arial" w:cs="Arial" w:eastAsia="Arial" w:hAnsi="Arial"/>
                <w:sz w:val="18"/>
                <w:szCs w:val="18"/>
                <w:color w:val="auto"/>
              </w:rPr>
              <w:t>374,584</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57,173</w:t>
            </w:r>
          </w:p>
        </w:tc>
        <w:tc>
          <w:tcPr>
            <w:tcW w:w="136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344,656</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52,605</w:t>
            </w:r>
          </w:p>
        </w:tc>
        <w:tc>
          <w:tcPr>
            <w:tcW w:w="200" w:type="dxa"/>
            <w:vAlign w:val="bottom"/>
          </w:tcPr>
          <w:p>
            <w:pPr>
              <w:spacing w:after="0"/>
              <w:rPr>
                <w:sz w:val="17"/>
                <w:szCs w:val="17"/>
                <w:color w:val="auto"/>
              </w:rPr>
            </w:pPr>
          </w:p>
        </w:tc>
      </w:tr>
      <w:tr>
        <w:trPr>
          <w:trHeight w:val="203"/>
        </w:trPr>
        <w:tc>
          <w:tcPr>
            <w:tcW w:w="180" w:type="dxa"/>
            <w:vAlign w:val="bottom"/>
          </w:tcPr>
          <w:p>
            <w:pPr>
              <w:spacing w:after="0"/>
              <w:rPr>
                <w:sz w:val="17"/>
                <w:szCs w:val="17"/>
                <w:color w:val="auto"/>
              </w:rPr>
            </w:pPr>
          </w:p>
        </w:tc>
        <w:tc>
          <w:tcPr>
            <w:tcW w:w="3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594,168</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1,144,373</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14"/>
              <w:spacing w:after="0" w:line="202" w:lineRule="exact"/>
              <w:rPr>
                <w:sz w:val="20"/>
                <w:szCs w:val="20"/>
                <w:color w:val="auto"/>
              </w:rPr>
            </w:pPr>
            <w:r>
              <w:rPr>
                <w:rFonts w:ascii="Arial" w:cs="Arial" w:eastAsia="Arial" w:hAnsi="Arial"/>
                <w:sz w:val="18"/>
                <w:szCs w:val="18"/>
                <w:color w:val="auto"/>
              </w:rPr>
              <w:t>1,558,123</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237,816</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1,424,393</w:t>
            </w:r>
          </w:p>
        </w:tc>
        <w:tc>
          <w:tcPr>
            <w:tcW w:w="94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217,405</w:t>
            </w:r>
          </w:p>
        </w:tc>
        <w:tc>
          <w:tcPr>
            <w:tcW w:w="200" w:type="dxa"/>
            <w:vAlign w:val="bottom"/>
          </w:tcPr>
          <w:p>
            <w:pPr>
              <w:spacing w:after="0"/>
              <w:rPr>
                <w:sz w:val="17"/>
                <w:szCs w:val="17"/>
                <w:color w:val="auto"/>
              </w:rPr>
            </w:pPr>
          </w:p>
        </w:tc>
      </w:tr>
      <w:tr>
        <w:trPr>
          <w:trHeight w:val="217"/>
        </w:trPr>
        <w:tc>
          <w:tcPr>
            <w:tcW w:w="1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Mezzanine equity</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2,492,056</w:t>
            </w:r>
          </w:p>
        </w:tc>
        <w:tc>
          <w:tcPr>
            <w:tcW w:w="1000" w:type="dxa"/>
            <w:vAlign w:val="bottom"/>
          </w:tcPr>
          <w:p>
            <w:pPr>
              <w:jc w:val="right"/>
              <w:spacing w:after="0"/>
              <w:rPr>
                <w:sz w:val="20"/>
                <w:szCs w:val="20"/>
                <w:color w:val="auto"/>
              </w:rPr>
            </w:pPr>
            <w:r>
              <w:rPr>
                <w:rFonts w:ascii="Arial" w:cs="Arial" w:eastAsia="Arial" w:hAnsi="Arial"/>
                <w:sz w:val="18"/>
                <w:szCs w:val="18"/>
                <w:color w:val="auto"/>
              </w:rPr>
              <w:t>7,080,078</w:t>
            </w:r>
          </w:p>
        </w:tc>
        <w:tc>
          <w:tcPr>
            <w:tcW w:w="140" w:type="dxa"/>
            <w:vAlign w:val="bottom"/>
          </w:tcPr>
          <w:p>
            <w:pPr>
              <w:spacing w:after="0"/>
              <w:rPr>
                <w:sz w:val="18"/>
                <w:szCs w:val="18"/>
                <w:color w:val="auto"/>
              </w:rPr>
            </w:pPr>
          </w:p>
        </w:tc>
        <w:tc>
          <w:tcPr>
            <w:tcW w:w="1320" w:type="dxa"/>
            <w:vAlign w:val="bottom"/>
          </w:tcPr>
          <w:p>
            <w:pPr>
              <w:jc w:val="right"/>
              <w:ind w:right="214"/>
              <w:spacing w:after="0"/>
              <w:rPr>
                <w:sz w:val="20"/>
                <w:szCs w:val="20"/>
                <w:color w:val="auto"/>
              </w:rPr>
            </w:pPr>
            <w:r>
              <w:rPr>
                <w:rFonts w:ascii="Arial" w:cs="Arial" w:eastAsia="Arial" w:hAnsi="Arial"/>
                <w:sz w:val="18"/>
                <w:szCs w:val="18"/>
                <w:color w:val="auto"/>
              </w:rPr>
              <w:t>8,879,894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1,355,337</w:t>
            </w:r>
          </w:p>
        </w:tc>
        <w:tc>
          <w:tcPr>
            <w:tcW w:w="1360" w:type="dxa"/>
            <w:vAlign w:val="bottom"/>
          </w:tcPr>
          <w:p>
            <w:pPr>
              <w:jc w:val="right"/>
              <w:ind w:right="254"/>
              <w:spacing w:after="0"/>
              <w:rPr>
                <w:sz w:val="20"/>
                <w:szCs w:val="20"/>
                <w:color w:val="auto"/>
              </w:rPr>
            </w:pPr>
            <w:r>
              <w:rPr>
                <w:rFonts w:ascii="Arial" w:cs="Arial" w:eastAsia="Arial" w:hAnsi="Arial"/>
                <w:sz w:val="18"/>
                <w:szCs w:val="18"/>
                <w:color w:val="auto"/>
              </w:rPr>
              <w:t>9,542,589</w:t>
            </w:r>
          </w:p>
        </w:tc>
        <w:tc>
          <w:tcPr>
            <w:tcW w:w="940" w:type="dxa"/>
            <w:vAlign w:val="bottom"/>
          </w:tcPr>
          <w:p>
            <w:pPr>
              <w:jc w:val="right"/>
              <w:spacing w:after="0"/>
              <w:rPr>
                <w:sz w:val="20"/>
                <w:szCs w:val="20"/>
                <w:color w:val="auto"/>
              </w:rPr>
            </w:pPr>
            <w:r>
              <w:rPr>
                <w:rFonts w:ascii="Arial" w:cs="Arial" w:eastAsia="Arial" w:hAnsi="Arial"/>
                <w:sz w:val="18"/>
                <w:szCs w:val="18"/>
                <w:color w:val="auto"/>
              </w:rPr>
              <w:t>1,456,484</w:t>
            </w:r>
          </w:p>
        </w:tc>
        <w:tc>
          <w:tcPr>
            <w:tcW w:w="200" w:type="dxa"/>
            <w:vAlign w:val="bottom"/>
          </w:tcPr>
          <w:p>
            <w:pPr>
              <w:spacing w:after="0"/>
              <w:rPr>
                <w:sz w:val="18"/>
                <w:szCs w:val="18"/>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604"/>
        </w:trPr>
        <w:tc>
          <w:tcPr>
            <w:tcW w:w="1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354"/>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firstLine="532"/>
        <w:spacing w:after="0" w:line="246" w:lineRule="auto"/>
        <w:rPr>
          <w:sz w:val="20"/>
          <w:szCs w:val="20"/>
          <w:color w:val="auto"/>
        </w:rPr>
      </w:pPr>
      <w:r>
        <w:rPr>
          <w:rFonts w:ascii="Arial" w:cs="Arial" w:eastAsia="Arial" w:hAnsi="Arial"/>
          <w:sz w:val="18"/>
          <w:szCs w:val="18"/>
          <w:color w:val="auto"/>
        </w:rPr>
        <w:t>The following table presents our summary consolidated statements of cash flows data for the years ended December 31, 2018, 2019 and 2020 and the three months ended March 31, 2020 and 2021:</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3500" w:type="dxa"/>
            <w:vAlign w:val="bottom"/>
          </w:tcPr>
          <w:p>
            <w:pPr>
              <w:spacing w:after="0"/>
              <w:rPr>
                <w:sz w:val="15"/>
                <w:szCs w:val="15"/>
                <w:color w:val="auto"/>
              </w:rPr>
            </w:pPr>
          </w:p>
        </w:tc>
        <w:tc>
          <w:tcPr>
            <w:tcW w:w="318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4"/>
                <w:szCs w:val="14"/>
                <w:b w:val="1"/>
                <w:bCs w:val="1"/>
                <w:color w:val="auto"/>
              </w:rPr>
              <w:t>For the Year Ended December 31,</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5"/>
        </w:trPr>
        <w:tc>
          <w:tcPr>
            <w:tcW w:w="3500" w:type="dxa"/>
            <w:vAlign w:val="bottom"/>
          </w:tcPr>
          <w:p>
            <w:pPr>
              <w:spacing w:after="0"/>
              <w:rPr>
                <w:sz w:val="13"/>
                <w:szCs w:val="13"/>
                <w:color w:val="auto"/>
              </w:rPr>
            </w:pPr>
          </w:p>
        </w:tc>
        <w:tc>
          <w:tcPr>
            <w:tcW w:w="82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8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3500" w:type="dxa"/>
            <w:vAlign w:val="bottom"/>
          </w:tcPr>
          <w:p>
            <w:pPr>
              <w:spacing w:after="0"/>
              <w:rPr>
                <w:sz w:val="13"/>
                <w:szCs w:val="13"/>
                <w:color w:val="auto"/>
              </w:rPr>
            </w:pPr>
          </w:p>
        </w:tc>
        <w:tc>
          <w:tcPr>
            <w:tcW w:w="8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RMB</w:t>
            </w:r>
          </w:p>
        </w:tc>
        <w:tc>
          <w:tcPr>
            <w:tcW w:w="7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215"/>
              <w:spacing w:after="0" w:line="155" w:lineRule="exact"/>
              <w:rPr>
                <w:sz w:val="20"/>
                <w:szCs w:val="20"/>
                <w:color w:val="auto"/>
              </w:rPr>
            </w:pPr>
            <w:r>
              <w:rPr>
                <w:rFonts w:ascii="Arial" w:cs="Arial" w:eastAsia="Arial" w:hAnsi="Arial"/>
                <w:sz w:val="14"/>
                <w:szCs w:val="14"/>
                <w:b w:val="1"/>
                <w:bCs w:val="1"/>
                <w:color w:val="auto"/>
              </w:rPr>
              <w:t>RMB</w:t>
            </w:r>
          </w:p>
        </w:tc>
        <w:tc>
          <w:tcPr>
            <w:tcW w:w="7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r>
      <w:tr>
        <w:trPr>
          <w:trHeight w:val="155"/>
        </w:trPr>
        <w:tc>
          <w:tcPr>
            <w:tcW w:w="3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(358,022)</w:t>
            </w: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(410,794)</w:t>
            </w:r>
          </w:p>
        </w:tc>
        <w:tc>
          <w:tcPr>
            <w:tcW w:w="112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(412,868)</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(63,016)</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(203,109)</w:t>
            </w:r>
          </w:p>
        </w:tc>
        <w:tc>
          <w:tcPr>
            <w:tcW w:w="114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(302,526)</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(46,174)</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Net cash (used in)/provided by investing</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500" w:type="dxa"/>
            <w:vAlign w:val="bottom"/>
          </w:tcPr>
          <w:p>
            <w:pPr>
              <w:ind w:left="180"/>
              <w:spacing w:after="0" w:line="203" w:lineRule="exact"/>
              <w:rPr>
                <w:sz w:val="20"/>
                <w:szCs w:val="20"/>
                <w:color w:val="auto"/>
              </w:rPr>
            </w:pPr>
            <w:r>
              <w:rPr>
                <w:rFonts w:ascii="Arial" w:cs="Arial" w:eastAsia="Arial" w:hAnsi="Arial"/>
                <w:sz w:val="18"/>
                <w:szCs w:val="18"/>
                <w:color w:val="auto"/>
              </w:rPr>
              <w:t>activities</w:t>
            </w:r>
          </w:p>
        </w:tc>
        <w:tc>
          <w:tcPr>
            <w:tcW w:w="10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(109,267)</w:t>
            </w:r>
          </w:p>
        </w:tc>
        <w:tc>
          <w:tcPr>
            <w:tcW w:w="10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(304,349)</w:t>
            </w:r>
          </w:p>
        </w:tc>
        <w:tc>
          <w:tcPr>
            <w:tcW w:w="1120" w:type="dxa"/>
            <w:vAlign w:val="bottom"/>
          </w:tcPr>
          <w:p>
            <w:pPr>
              <w:jc w:val="right"/>
              <w:ind w:right="195"/>
              <w:spacing w:after="0" w:line="203" w:lineRule="exact"/>
              <w:rPr>
                <w:sz w:val="20"/>
                <w:szCs w:val="20"/>
                <w:color w:val="auto"/>
              </w:rPr>
            </w:pPr>
            <w:r>
              <w:rPr>
                <w:rFonts w:ascii="Arial" w:cs="Arial" w:eastAsia="Arial" w:hAnsi="Arial"/>
                <w:sz w:val="18"/>
                <w:szCs w:val="18"/>
                <w:color w:val="auto"/>
              </w:rPr>
              <w:t>18,625</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2,843</w:t>
            </w: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7,788</w:t>
            </w:r>
          </w:p>
        </w:tc>
        <w:tc>
          <w:tcPr>
            <w:tcW w:w="220" w:type="dxa"/>
            <w:vAlign w:val="bottom"/>
          </w:tcPr>
          <w:p>
            <w:pPr>
              <w:spacing w:after="0"/>
              <w:rPr>
                <w:sz w:val="17"/>
                <w:szCs w:val="17"/>
                <w:color w:val="auto"/>
              </w:rPr>
            </w:pPr>
          </w:p>
        </w:tc>
        <w:tc>
          <w:tcPr>
            <w:tcW w:w="1140" w:type="dxa"/>
            <w:vAlign w:val="bottom"/>
          </w:tcPr>
          <w:p>
            <w:pPr>
              <w:jc w:val="right"/>
              <w:ind w:right="215"/>
              <w:spacing w:after="0" w:line="203" w:lineRule="exact"/>
              <w:rPr>
                <w:sz w:val="20"/>
                <w:szCs w:val="20"/>
                <w:color w:val="auto"/>
              </w:rPr>
            </w:pPr>
            <w:r>
              <w:rPr>
                <w:rFonts w:ascii="Arial" w:cs="Arial" w:eastAsia="Arial" w:hAnsi="Arial"/>
                <w:sz w:val="18"/>
                <w:szCs w:val="18"/>
                <w:color w:val="auto"/>
              </w:rPr>
              <w:t>86,845</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13,255</w:t>
            </w:r>
          </w:p>
        </w:tc>
        <w:tc>
          <w:tcPr>
            <w:tcW w:w="140" w:type="dxa"/>
            <w:vAlign w:val="bottom"/>
          </w:tcPr>
          <w:p>
            <w:pPr>
              <w:spacing w:after="0"/>
              <w:rPr>
                <w:sz w:val="17"/>
                <w:szCs w:val="17"/>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by/(used in) financing</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activities</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904,022</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455,751</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5"/>
              <w:spacing w:after="0" w:line="203" w:lineRule="exact"/>
              <w:rPr>
                <w:sz w:val="20"/>
                <w:szCs w:val="20"/>
                <w:color w:val="auto"/>
              </w:rPr>
            </w:pPr>
            <w:r>
              <w:rPr>
                <w:rFonts w:ascii="Arial" w:cs="Arial" w:eastAsia="Arial" w:hAnsi="Arial"/>
                <w:sz w:val="18"/>
                <w:szCs w:val="18"/>
                <w:color w:val="auto"/>
              </w:rPr>
              <w:t>929,962</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141,940</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86,977</w:t>
            </w:r>
          </w:p>
        </w:tc>
        <w:tc>
          <w:tcPr>
            <w:tcW w:w="1140" w:type="dxa"/>
            <w:vAlign w:val="bottom"/>
            <w:shd w:val="clear" w:color="auto" w:fill="CCEEFF"/>
          </w:tcPr>
          <w:p>
            <w:pPr>
              <w:jc w:val="right"/>
              <w:ind w:right="155"/>
              <w:spacing w:after="0" w:line="203" w:lineRule="exact"/>
              <w:rPr>
                <w:sz w:val="20"/>
                <w:szCs w:val="20"/>
                <w:color w:val="auto"/>
              </w:rPr>
            </w:pPr>
            <w:r>
              <w:rPr>
                <w:rFonts w:ascii="Arial" w:cs="Arial" w:eastAsia="Arial" w:hAnsi="Arial"/>
                <w:sz w:val="18"/>
                <w:szCs w:val="18"/>
                <w:color w:val="auto"/>
              </w:rPr>
              <w:t>(44,103)</w:t>
            </w:r>
          </w:p>
        </w:tc>
        <w:tc>
          <w:tcPr>
            <w:tcW w:w="8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(6,731)</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Effect of foreign exchange rate changes</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500" w:type="dxa"/>
            <w:vAlign w:val="bottom"/>
          </w:tcPr>
          <w:p>
            <w:pPr>
              <w:ind w:left="180"/>
              <w:spacing w:after="0" w:line="203" w:lineRule="exact"/>
              <w:rPr>
                <w:sz w:val="20"/>
                <w:szCs w:val="20"/>
                <w:color w:val="auto"/>
              </w:rPr>
            </w:pPr>
            <w:r>
              <w:rPr>
                <w:rFonts w:ascii="Arial" w:cs="Arial" w:eastAsia="Arial" w:hAnsi="Arial"/>
                <w:sz w:val="18"/>
                <w:szCs w:val="18"/>
                <w:color w:val="auto"/>
              </w:rPr>
              <w:t>on cash and cash equivalents</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33,179</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4,515</w:t>
            </w:r>
          </w:p>
        </w:tc>
        <w:tc>
          <w:tcPr>
            <w:tcW w:w="200" w:type="dxa"/>
            <w:vAlign w:val="bottom"/>
          </w:tcPr>
          <w:p>
            <w:pPr>
              <w:spacing w:after="0"/>
              <w:rPr>
                <w:sz w:val="17"/>
                <w:szCs w:val="17"/>
                <w:color w:val="auto"/>
              </w:rPr>
            </w:pPr>
          </w:p>
        </w:tc>
        <w:tc>
          <w:tcPr>
            <w:tcW w:w="1120" w:type="dxa"/>
            <w:vAlign w:val="bottom"/>
          </w:tcPr>
          <w:p>
            <w:pPr>
              <w:jc w:val="right"/>
              <w:ind w:right="135"/>
              <w:spacing w:after="0" w:line="203" w:lineRule="exact"/>
              <w:rPr>
                <w:sz w:val="20"/>
                <w:szCs w:val="20"/>
                <w:color w:val="auto"/>
              </w:rPr>
            </w:pPr>
            <w:r>
              <w:rPr>
                <w:rFonts w:ascii="Arial" w:cs="Arial" w:eastAsia="Arial" w:hAnsi="Arial"/>
                <w:sz w:val="18"/>
                <w:szCs w:val="18"/>
                <w:color w:val="auto"/>
              </w:rPr>
              <w:t>(28,426)</w:t>
            </w:r>
          </w:p>
        </w:tc>
        <w:tc>
          <w:tcPr>
            <w:tcW w:w="9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(4,339)</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2,008</w:t>
            </w:r>
          </w:p>
        </w:tc>
        <w:tc>
          <w:tcPr>
            <w:tcW w:w="220" w:type="dxa"/>
            <w:vAlign w:val="bottom"/>
          </w:tcPr>
          <w:p>
            <w:pPr>
              <w:spacing w:after="0"/>
              <w:rPr>
                <w:sz w:val="17"/>
                <w:szCs w:val="17"/>
                <w:color w:val="auto"/>
              </w:rPr>
            </w:pPr>
          </w:p>
        </w:tc>
        <w:tc>
          <w:tcPr>
            <w:tcW w:w="1140" w:type="dxa"/>
            <w:vAlign w:val="bottom"/>
          </w:tcPr>
          <w:p>
            <w:pPr>
              <w:jc w:val="right"/>
              <w:ind w:right="215"/>
              <w:spacing w:after="0" w:line="203" w:lineRule="exact"/>
              <w:rPr>
                <w:sz w:val="20"/>
                <w:szCs w:val="20"/>
                <w:color w:val="auto"/>
              </w:rPr>
            </w:pPr>
            <w:r>
              <w:rPr>
                <w:rFonts w:ascii="Arial" w:cs="Arial" w:eastAsia="Arial" w:hAnsi="Arial"/>
                <w:sz w:val="18"/>
                <w:szCs w:val="18"/>
                <w:color w:val="auto"/>
              </w:rPr>
              <w:t>2,731</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417</w:t>
            </w:r>
          </w:p>
        </w:tc>
        <w:tc>
          <w:tcPr>
            <w:tcW w:w="140" w:type="dxa"/>
            <w:vAlign w:val="bottom"/>
          </w:tcPr>
          <w:p>
            <w:pPr>
              <w:spacing w:after="0"/>
              <w:rPr>
                <w:sz w:val="17"/>
                <w:szCs w:val="17"/>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increase/(decrease) in cash, cash</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equivalents and restricted cash</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469,912</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(254,877)</w:t>
            </w:r>
          </w:p>
        </w:tc>
        <w:tc>
          <w:tcPr>
            <w:tcW w:w="1120" w:type="dxa"/>
            <w:vAlign w:val="bottom"/>
            <w:shd w:val="clear" w:color="auto" w:fill="CCEEFF"/>
          </w:tcPr>
          <w:p>
            <w:pPr>
              <w:jc w:val="right"/>
              <w:ind w:right="195"/>
              <w:spacing w:after="0" w:line="203" w:lineRule="exact"/>
              <w:rPr>
                <w:sz w:val="20"/>
                <w:szCs w:val="20"/>
                <w:color w:val="auto"/>
              </w:rPr>
            </w:pPr>
            <w:r>
              <w:rPr>
                <w:rFonts w:ascii="Arial" w:cs="Arial" w:eastAsia="Arial" w:hAnsi="Arial"/>
                <w:sz w:val="18"/>
                <w:szCs w:val="18"/>
                <w:color w:val="auto"/>
              </w:rPr>
              <w:t>507,293</w:t>
            </w:r>
          </w:p>
        </w:tc>
        <w:tc>
          <w:tcPr>
            <w:tcW w:w="9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77,428</w:t>
            </w:r>
          </w:p>
        </w:tc>
        <w:tc>
          <w:tcPr>
            <w:tcW w:w="10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(106,336)</w:t>
            </w:r>
          </w:p>
        </w:tc>
        <w:tc>
          <w:tcPr>
            <w:tcW w:w="1140" w:type="dxa"/>
            <w:vAlign w:val="bottom"/>
            <w:shd w:val="clear" w:color="auto" w:fill="CCEEFF"/>
          </w:tcPr>
          <w:p>
            <w:pPr>
              <w:jc w:val="right"/>
              <w:ind w:right="155"/>
              <w:spacing w:after="0" w:line="203" w:lineRule="exact"/>
              <w:rPr>
                <w:sz w:val="20"/>
                <w:szCs w:val="20"/>
                <w:color w:val="auto"/>
              </w:rPr>
            </w:pPr>
            <w:r>
              <w:rPr>
                <w:rFonts w:ascii="Arial" w:cs="Arial" w:eastAsia="Arial" w:hAnsi="Arial"/>
                <w:sz w:val="18"/>
                <w:szCs w:val="18"/>
                <w:color w:val="auto"/>
              </w:rPr>
              <w:t>(257,053)</w:t>
            </w:r>
          </w:p>
        </w:tc>
        <w:tc>
          <w:tcPr>
            <w:tcW w:w="8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(39,234)</w:t>
            </w: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500" w:type="dxa"/>
            <w:vAlign w:val="bottom"/>
          </w:tcPr>
          <w:p>
            <w:pPr>
              <w:ind w:left="180"/>
              <w:spacing w:after="0" w:line="203" w:lineRule="exact"/>
              <w:rPr>
                <w:sz w:val="20"/>
                <w:szCs w:val="20"/>
                <w:color w:val="auto"/>
              </w:rPr>
            </w:pPr>
            <w:r>
              <w:rPr>
                <w:rFonts w:ascii="Arial" w:cs="Arial" w:eastAsia="Arial" w:hAnsi="Arial"/>
                <w:sz w:val="18"/>
                <w:szCs w:val="18"/>
                <w:color w:val="auto"/>
              </w:rPr>
              <w:t>cash at the beginning of the period</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196,048</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665,960</w:t>
            </w:r>
          </w:p>
        </w:tc>
        <w:tc>
          <w:tcPr>
            <w:tcW w:w="200" w:type="dxa"/>
            <w:vAlign w:val="bottom"/>
          </w:tcPr>
          <w:p>
            <w:pPr>
              <w:spacing w:after="0"/>
              <w:rPr>
                <w:sz w:val="17"/>
                <w:szCs w:val="17"/>
                <w:color w:val="auto"/>
              </w:rPr>
            </w:pPr>
          </w:p>
        </w:tc>
        <w:tc>
          <w:tcPr>
            <w:tcW w:w="1120" w:type="dxa"/>
            <w:vAlign w:val="bottom"/>
          </w:tcPr>
          <w:p>
            <w:pPr>
              <w:jc w:val="right"/>
              <w:ind w:right="195"/>
              <w:spacing w:after="0" w:line="203" w:lineRule="exact"/>
              <w:rPr>
                <w:sz w:val="20"/>
                <w:szCs w:val="20"/>
                <w:color w:val="auto"/>
              </w:rPr>
            </w:pPr>
            <w:r>
              <w:rPr>
                <w:rFonts w:ascii="Arial" w:cs="Arial" w:eastAsia="Arial" w:hAnsi="Arial"/>
                <w:sz w:val="18"/>
                <w:szCs w:val="18"/>
                <w:color w:val="auto"/>
              </w:rPr>
              <w:t>411,083</w:t>
            </w:r>
          </w:p>
        </w:tc>
        <w:tc>
          <w:tcPr>
            <w:tcW w:w="9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62,744</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411,083</w:t>
            </w:r>
          </w:p>
        </w:tc>
        <w:tc>
          <w:tcPr>
            <w:tcW w:w="220" w:type="dxa"/>
            <w:vAlign w:val="bottom"/>
          </w:tcPr>
          <w:p>
            <w:pPr>
              <w:spacing w:after="0"/>
              <w:rPr>
                <w:sz w:val="17"/>
                <w:szCs w:val="17"/>
                <w:color w:val="auto"/>
              </w:rPr>
            </w:pPr>
          </w:p>
        </w:tc>
        <w:tc>
          <w:tcPr>
            <w:tcW w:w="1140" w:type="dxa"/>
            <w:vAlign w:val="bottom"/>
          </w:tcPr>
          <w:p>
            <w:pPr>
              <w:jc w:val="right"/>
              <w:ind w:right="215"/>
              <w:spacing w:after="0" w:line="203" w:lineRule="exact"/>
              <w:rPr>
                <w:sz w:val="20"/>
                <w:szCs w:val="20"/>
                <w:color w:val="auto"/>
              </w:rPr>
            </w:pPr>
            <w:r>
              <w:rPr>
                <w:rFonts w:ascii="Arial" w:cs="Arial" w:eastAsia="Arial" w:hAnsi="Arial"/>
                <w:sz w:val="18"/>
                <w:szCs w:val="18"/>
                <w:color w:val="auto"/>
              </w:rPr>
              <w:t>918,376</w:t>
            </w: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140,172</w:t>
            </w:r>
          </w:p>
        </w:tc>
        <w:tc>
          <w:tcPr>
            <w:tcW w:w="140" w:type="dxa"/>
            <w:vAlign w:val="bottom"/>
          </w:tcPr>
          <w:p>
            <w:pPr>
              <w:spacing w:after="0"/>
              <w:rPr>
                <w:sz w:val="17"/>
                <w:szCs w:val="17"/>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35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cash at the end of the period</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665,960</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411,083</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95"/>
              <w:spacing w:after="0" w:line="203" w:lineRule="exact"/>
              <w:rPr>
                <w:sz w:val="20"/>
                <w:szCs w:val="20"/>
                <w:color w:val="auto"/>
              </w:rPr>
            </w:pPr>
            <w:r>
              <w:rPr>
                <w:rFonts w:ascii="Arial" w:cs="Arial" w:eastAsia="Arial" w:hAnsi="Arial"/>
                <w:sz w:val="18"/>
                <w:szCs w:val="18"/>
                <w:color w:val="auto"/>
              </w:rPr>
              <w:t>918,376</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140,172</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304,747</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15"/>
              <w:spacing w:after="0" w:line="203" w:lineRule="exact"/>
              <w:rPr>
                <w:sz w:val="20"/>
                <w:szCs w:val="20"/>
                <w:color w:val="auto"/>
              </w:rPr>
            </w:pPr>
            <w:r>
              <w:rPr>
                <w:rFonts w:ascii="Arial" w:cs="Arial" w:eastAsia="Arial" w:hAnsi="Arial"/>
                <w:sz w:val="18"/>
                <w:szCs w:val="18"/>
                <w:color w:val="auto"/>
              </w:rPr>
              <w:t>661,323</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100,938</w:t>
            </w:r>
          </w:p>
        </w:tc>
        <w:tc>
          <w:tcPr>
            <w:tcW w:w="140" w:type="dxa"/>
            <w:vAlign w:val="bottom"/>
            <w:shd w:val="clear" w:color="auto" w:fill="CCEEFF"/>
          </w:tcPr>
          <w:p>
            <w:pPr>
              <w:spacing w:after="0"/>
              <w:rPr>
                <w:sz w:val="17"/>
                <w:szCs w:val="17"/>
                <w:color w:val="auto"/>
              </w:rPr>
            </w:pPr>
          </w:p>
        </w:tc>
      </w:tr>
    </w:tbl>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We use adjusted loss from operations and adjusted net loss, non-GAAP financial measures, in evaluating our operating results and for financial and operational decision-making purposes. Adjusted loss from operations represents loss from operations excluding amortization of intangible assets resulting from business acquisitions. Adjusted net loss represents net loss excluding amortization of intangible assets resulting from business acquisitions, tax benefit from amortization of such intangible assets, and fair value change of warranty liabilities.</w:t>
      </w:r>
    </w:p>
    <w:p>
      <w:pPr>
        <w:spacing w:after="0" w:line="202" w:lineRule="exact"/>
        <w:rPr>
          <w:sz w:val="20"/>
          <w:szCs w:val="20"/>
          <w:color w:val="auto"/>
        </w:rPr>
      </w:pPr>
    </w:p>
    <w:p>
      <w:pPr>
        <w:ind w:left="300" w:right="260" w:firstLine="532"/>
        <w:spacing w:after="0" w:line="237" w:lineRule="auto"/>
        <w:rPr>
          <w:sz w:val="20"/>
          <w:szCs w:val="20"/>
          <w:color w:val="auto"/>
        </w:rPr>
      </w:pPr>
      <w:r>
        <w:rPr>
          <w:rFonts w:ascii="Arial" w:cs="Arial" w:eastAsia="Arial" w:hAnsi="Arial"/>
          <w:sz w:val="18"/>
          <w:szCs w:val="18"/>
          <w:color w:val="auto"/>
        </w:rPr>
        <w:t>We present these non-GAAP financial measures because they are used by our management to evaluate our operating performance and formulate business plans. We believe that adjusted loss from operations and adjusted net loss help identify underlying trends in our business that could otherwise be distorted by the effect of certain expenses that are included in loss from operations and net loss. We also believe that the use of the non-GAAP financial measures facilitate investors’ assessment of our operating performance. We believe that adjusted loss from operations and adjusted net loss provides useful information about our operating results, enhances the overall understanding of our past performance and future prospects and allows for greater visibility with respect to key metrics used by our management in its financial and operational decision making.</w:t>
      </w:r>
    </w:p>
    <w:p>
      <w:pPr>
        <w:spacing w:after="0" w:line="203"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Adjusted loss from operations and adjusted net loss should not be considered in isolation or construed as an alternative to loss from operations and net loss or any other measure of performance or as an indicator of our operating performance. Investors are encouraged to review our historical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689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36899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240"/>
        <w:spacing w:after="0" w:line="238" w:lineRule="auto"/>
        <w:rPr>
          <w:sz w:val="20"/>
          <w:szCs w:val="20"/>
          <w:color w:val="auto"/>
        </w:rPr>
      </w:pPr>
      <w:r>
        <w:rPr>
          <w:rFonts w:ascii="Arial" w:cs="Arial" w:eastAsia="Arial" w:hAnsi="Arial"/>
          <w:sz w:val="18"/>
          <w:szCs w:val="18"/>
          <w:color w:val="auto"/>
        </w:rPr>
        <w:t>adjusted net loss to the most directly comparable U.S. GAAP measures. Adjusted loss from operations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05" w:lineRule="exact"/>
        <w:rPr>
          <w:sz w:val="20"/>
          <w:szCs w:val="20"/>
          <w:color w:val="auto"/>
        </w:rPr>
      </w:pPr>
    </w:p>
    <w:p>
      <w:pPr>
        <w:ind w:left="300" w:right="120" w:firstLine="532"/>
        <w:spacing w:after="0"/>
        <w:rPr>
          <w:sz w:val="20"/>
          <w:szCs w:val="20"/>
          <w:color w:val="auto"/>
        </w:rPr>
      </w:pPr>
      <w:r>
        <w:rPr>
          <w:rFonts w:ascii="Arial" w:cs="Arial" w:eastAsia="Arial" w:hAnsi="Arial"/>
          <w:sz w:val="18"/>
          <w:szCs w:val="18"/>
          <w:color w:val="auto"/>
        </w:rPr>
        <w:t>The following table reconciles our adjusted loss from operations and adjusted net loss for the periods indicated to the most directly comparable financial measures calculated and presented in accordance with U.S. GAAP, which are loss from operations and net loss for the periods indicated:</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4240" w:type="dxa"/>
            <w:vAlign w:val="bottom"/>
          </w:tcPr>
          <w:p>
            <w:pPr>
              <w:spacing w:after="0"/>
              <w:rPr>
                <w:sz w:val="15"/>
                <w:szCs w:val="15"/>
                <w:color w:val="auto"/>
              </w:rPr>
            </w:pPr>
          </w:p>
        </w:tc>
        <w:tc>
          <w:tcPr>
            <w:tcW w:w="29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For the Year Ended December 31,</w:t>
            </w:r>
          </w:p>
        </w:tc>
        <w:tc>
          <w:tcPr>
            <w:tcW w:w="5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4240" w:type="dxa"/>
            <w:vAlign w:val="bottom"/>
          </w:tcPr>
          <w:p>
            <w:pPr>
              <w:spacing w:after="0"/>
              <w:rPr>
                <w:sz w:val="13"/>
                <w:szCs w:val="13"/>
                <w:color w:val="auto"/>
              </w:rPr>
            </w:pPr>
          </w:p>
        </w:tc>
        <w:tc>
          <w:tcPr>
            <w:tcW w:w="740" w:type="dxa"/>
            <w:vAlign w:val="bottom"/>
            <w:tcBorders>
              <w:bottom w:val="single" w:sz="8" w:color="auto"/>
            </w:tcBorders>
          </w:tcPr>
          <w:p>
            <w:pPr>
              <w:jc w:val="right"/>
              <w:ind w:right="125"/>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740" w:type="dxa"/>
            <w:vAlign w:val="bottom"/>
            <w:tcBorders>
              <w:bottom w:val="single" w:sz="8" w:color="auto"/>
            </w:tcBorders>
          </w:tcPr>
          <w:p>
            <w:pPr>
              <w:jc w:val="right"/>
              <w:ind w:right="14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04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bottom w:val="single" w:sz="8" w:color="auto"/>
            </w:tcBorders>
          </w:tcPr>
          <w:p>
            <w:pPr>
              <w:jc w:val="right"/>
              <w:ind w:right="14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060" w:type="dxa"/>
            <w:vAlign w:val="bottom"/>
            <w:tcBorders>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740" w:type="dxa"/>
            <w:vAlign w:val="bottom"/>
            <w:tcBorders>
              <w:bottom w:val="single" w:sz="8" w:color="auto"/>
            </w:tcBorders>
          </w:tcPr>
          <w:p>
            <w:pPr>
              <w:jc w:val="right"/>
              <w:ind w:right="125"/>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500"/>
              <w:spacing w:after="0" w:line="155" w:lineRule="exact"/>
              <w:rPr>
                <w:sz w:val="20"/>
                <w:szCs w:val="20"/>
                <w:color w:val="auto"/>
              </w:rPr>
            </w:pPr>
            <w:r>
              <w:rPr>
                <w:rFonts w:ascii="Arial" w:cs="Arial" w:eastAsia="Arial" w:hAnsi="Arial"/>
                <w:sz w:val="14"/>
                <w:szCs w:val="14"/>
                <w:b w:val="1"/>
                <w:bCs w:val="1"/>
                <w:color w:val="auto"/>
              </w:rPr>
              <w:t>RMB</w:t>
            </w:r>
          </w:p>
        </w:tc>
        <w:tc>
          <w:tcPr>
            <w:tcW w:w="560" w:type="dxa"/>
            <w:vAlign w:val="bottom"/>
            <w:tcBorders>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25"/>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rPr>
              <w:t>RMB</w:t>
            </w:r>
          </w:p>
        </w:tc>
        <w:tc>
          <w:tcPr>
            <w:tcW w:w="580" w:type="dxa"/>
            <w:vAlign w:val="bottom"/>
            <w:tcBorders>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r>
      <w:tr>
        <w:trPr>
          <w:trHeight w:val="155"/>
        </w:trPr>
        <w:tc>
          <w:tcPr>
            <w:tcW w:w="4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Loss from operations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(256,461)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(731,806)</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b w:val="1"/>
                <w:bCs w:val="1"/>
                <w:color w:val="auto"/>
              </w:rPr>
              <w:t>(458,777)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(70,023)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(198,946)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(111,410)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(17,004)</w:t>
            </w: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b w:val="1"/>
                <w:bCs w:val="1"/>
                <w:color w:val="auto"/>
              </w:rPr>
              <w:t>Add: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9"/>
        </w:trPr>
        <w:tc>
          <w:tcPr>
            <w:tcW w:w="4240" w:type="dxa"/>
            <w:vAlign w:val="bottom"/>
            <w:shd w:val="clear" w:color="auto" w:fill="CCEEFF"/>
          </w:tcPr>
          <w:p>
            <w:pPr>
              <w:ind w:left="240"/>
              <w:spacing w:after="0" w:line="159" w:lineRule="exact"/>
              <w:rPr>
                <w:sz w:val="20"/>
                <w:szCs w:val="20"/>
                <w:color w:val="auto"/>
              </w:rPr>
            </w:pPr>
            <w:r>
              <w:rPr>
                <w:rFonts w:ascii="Arial" w:cs="Arial" w:eastAsia="Arial" w:hAnsi="Arial"/>
                <w:sz w:val="15"/>
                <w:szCs w:val="15"/>
                <w:color w:val="auto"/>
              </w:rPr>
              <w:t>Amortization of intangible assets resulting from business</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5"/>
        </w:trPr>
        <w:tc>
          <w:tcPr>
            <w:tcW w:w="4240" w:type="dxa"/>
            <w:vAlign w:val="bottom"/>
            <w:shd w:val="clear" w:color="auto" w:fill="CCEEFF"/>
          </w:tcPr>
          <w:p>
            <w:pPr>
              <w:ind w:left="380"/>
              <w:spacing w:after="0" w:line="166" w:lineRule="exact"/>
              <w:rPr>
                <w:sz w:val="20"/>
                <w:szCs w:val="20"/>
                <w:color w:val="auto"/>
              </w:rPr>
            </w:pPr>
            <w:r>
              <w:rPr>
                <w:rFonts w:ascii="Arial" w:cs="Arial" w:eastAsia="Arial" w:hAnsi="Arial"/>
                <w:sz w:val="15"/>
                <w:szCs w:val="15"/>
                <w:color w:val="auto"/>
              </w:rPr>
              <w:t>acquisitions</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23,663</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196,628</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8"/>
              <w:spacing w:after="0" w:line="166" w:lineRule="exact"/>
              <w:rPr>
                <w:sz w:val="20"/>
                <w:szCs w:val="20"/>
                <w:color w:val="auto"/>
              </w:rPr>
            </w:pPr>
            <w:r>
              <w:rPr>
                <w:rFonts w:ascii="Arial" w:cs="Arial" w:eastAsia="Arial" w:hAnsi="Arial"/>
                <w:sz w:val="15"/>
                <w:szCs w:val="15"/>
                <w:color w:val="auto"/>
              </w:rPr>
              <w:t>315,123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48,097</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80,100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77,838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11,880</w:t>
            </w:r>
          </w:p>
        </w:tc>
        <w:tc>
          <w:tcPr>
            <w:tcW w:w="120" w:type="dxa"/>
            <w:vAlign w:val="bottom"/>
            <w:shd w:val="clear" w:color="auto" w:fill="CCEEFF"/>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240" w:type="dxa"/>
            <w:vAlign w:val="bottom"/>
          </w:tcPr>
          <w:p>
            <w:pPr>
              <w:spacing w:after="0"/>
              <w:rPr>
                <w:sz w:val="20"/>
                <w:szCs w:val="20"/>
                <w:color w:val="auto"/>
              </w:rPr>
            </w:pPr>
            <w:r>
              <w:rPr>
                <w:rFonts w:ascii="Arial" w:cs="Arial" w:eastAsia="Arial" w:hAnsi="Arial"/>
                <w:sz w:val="15"/>
                <w:szCs w:val="15"/>
                <w:b w:val="1"/>
                <w:bCs w:val="1"/>
                <w:color w:val="auto"/>
              </w:rPr>
              <w:t>Adjusted loss from operations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(232,798)</w:t>
            </w:r>
          </w:p>
        </w:tc>
        <w:tc>
          <w:tcPr>
            <w:tcW w:w="9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(535,178)</w:t>
            </w:r>
          </w:p>
        </w:tc>
        <w:tc>
          <w:tcPr>
            <w:tcW w:w="940" w:type="dxa"/>
            <w:vAlign w:val="bottom"/>
            <w:gridSpan w:val="2"/>
          </w:tcPr>
          <w:p>
            <w:pPr>
              <w:jc w:val="right"/>
              <w:ind w:right="68"/>
              <w:spacing w:after="0"/>
              <w:rPr>
                <w:sz w:val="20"/>
                <w:szCs w:val="20"/>
                <w:color w:val="auto"/>
              </w:rPr>
            </w:pPr>
            <w:r>
              <w:rPr>
                <w:rFonts w:ascii="Arial" w:cs="Arial" w:eastAsia="Arial" w:hAnsi="Arial"/>
                <w:sz w:val="15"/>
                <w:szCs w:val="15"/>
                <w:b w:val="1"/>
                <w:bCs w:val="1"/>
                <w:color w:val="auto"/>
              </w:rPr>
              <w:t>(143,654)</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(21,926)</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(118,846)</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(33,572)</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(5,124)</w:t>
            </w:r>
          </w:p>
        </w:tc>
      </w:tr>
      <w:tr>
        <w:trPr>
          <w:trHeight w:val="20"/>
        </w:trPr>
        <w:tc>
          <w:tcPr>
            <w:tcW w:w="4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(207,941)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(704,888)</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b w:val="1"/>
                <w:bCs w:val="1"/>
                <w:color w:val="auto"/>
              </w:rPr>
              <w:t>(470,618)</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(71,831)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(186,265)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(94,781)</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(14,465)</w:t>
            </w: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b w:val="1"/>
                <w:bCs w:val="1"/>
                <w:color w:val="auto"/>
              </w:rPr>
              <w:t>Add: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9"/>
        </w:trPr>
        <w:tc>
          <w:tcPr>
            <w:tcW w:w="4240" w:type="dxa"/>
            <w:vAlign w:val="bottom"/>
            <w:shd w:val="clear" w:color="auto" w:fill="CCEEFF"/>
          </w:tcPr>
          <w:p>
            <w:pPr>
              <w:ind w:left="240"/>
              <w:spacing w:after="0" w:line="159" w:lineRule="exact"/>
              <w:rPr>
                <w:sz w:val="20"/>
                <w:szCs w:val="20"/>
                <w:color w:val="auto"/>
              </w:rPr>
            </w:pPr>
            <w:r>
              <w:rPr>
                <w:rFonts w:ascii="Arial" w:cs="Arial" w:eastAsia="Arial" w:hAnsi="Arial"/>
                <w:sz w:val="15"/>
                <w:szCs w:val="15"/>
                <w:color w:val="auto"/>
              </w:rPr>
              <w:t>Amortization of intangible assets resulting from business</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5"/>
        </w:trPr>
        <w:tc>
          <w:tcPr>
            <w:tcW w:w="4240" w:type="dxa"/>
            <w:vAlign w:val="bottom"/>
            <w:shd w:val="clear" w:color="auto" w:fill="CCEEFF"/>
          </w:tcPr>
          <w:p>
            <w:pPr>
              <w:ind w:left="380"/>
              <w:spacing w:after="0" w:line="166" w:lineRule="exact"/>
              <w:rPr>
                <w:sz w:val="20"/>
                <w:szCs w:val="20"/>
                <w:color w:val="auto"/>
              </w:rPr>
            </w:pPr>
            <w:r>
              <w:rPr>
                <w:rFonts w:ascii="Arial" w:cs="Arial" w:eastAsia="Arial" w:hAnsi="Arial"/>
                <w:sz w:val="15"/>
                <w:szCs w:val="15"/>
                <w:color w:val="auto"/>
              </w:rPr>
              <w:t>acquisitions</w:t>
            </w:r>
          </w:p>
        </w:tc>
        <w:tc>
          <w:tcPr>
            <w:tcW w:w="74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23,663</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line="166" w:lineRule="exact"/>
              <w:rPr>
                <w:sz w:val="20"/>
                <w:szCs w:val="20"/>
                <w:color w:val="auto"/>
              </w:rPr>
            </w:pPr>
            <w:r>
              <w:rPr>
                <w:rFonts w:ascii="Arial" w:cs="Arial" w:eastAsia="Arial" w:hAnsi="Arial"/>
                <w:sz w:val="15"/>
                <w:szCs w:val="15"/>
                <w:color w:val="auto"/>
              </w:rPr>
              <w:t>196,628</w:t>
            </w:r>
          </w:p>
        </w:tc>
        <w:tc>
          <w:tcPr>
            <w:tcW w:w="940" w:type="dxa"/>
            <w:vAlign w:val="bottom"/>
            <w:gridSpan w:val="2"/>
            <w:shd w:val="clear" w:color="auto" w:fill="CCEEFF"/>
          </w:tcPr>
          <w:p>
            <w:pPr>
              <w:jc w:val="right"/>
              <w:ind w:right="128"/>
              <w:spacing w:after="0" w:line="166" w:lineRule="exact"/>
              <w:rPr>
                <w:sz w:val="20"/>
                <w:szCs w:val="20"/>
                <w:color w:val="auto"/>
              </w:rPr>
            </w:pPr>
            <w:r>
              <w:rPr>
                <w:rFonts w:ascii="Arial" w:cs="Arial" w:eastAsia="Arial" w:hAnsi="Arial"/>
                <w:sz w:val="15"/>
                <w:szCs w:val="15"/>
                <w:color w:val="auto"/>
              </w:rPr>
              <w:t>315,123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48,097</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80,100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77,838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6" w:lineRule="exact"/>
              <w:rPr>
                <w:sz w:val="20"/>
                <w:szCs w:val="20"/>
                <w:color w:val="auto"/>
              </w:rPr>
            </w:pPr>
            <w:r>
              <w:rPr>
                <w:rFonts w:ascii="Arial" w:cs="Arial" w:eastAsia="Arial" w:hAnsi="Arial"/>
                <w:sz w:val="15"/>
                <w:szCs w:val="15"/>
                <w:color w:val="auto"/>
              </w:rPr>
              <w:t>11,880</w:t>
            </w:r>
          </w:p>
        </w:tc>
        <w:tc>
          <w:tcPr>
            <w:tcW w:w="120" w:type="dxa"/>
            <w:vAlign w:val="bottom"/>
            <w:shd w:val="clear" w:color="auto" w:fill="CCEEFF"/>
          </w:tcPr>
          <w:p>
            <w:pPr>
              <w:spacing w:after="0"/>
              <w:rPr>
                <w:sz w:val="14"/>
                <w:szCs w:val="14"/>
                <w:color w:val="auto"/>
              </w:rPr>
            </w:pPr>
          </w:p>
        </w:tc>
      </w:tr>
      <w:tr>
        <w:trPr>
          <w:trHeight w:val="162"/>
        </w:trPr>
        <w:tc>
          <w:tcPr>
            <w:tcW w:w="4240" w:type="dxa"/>
            <w:vAlign w:val="bottom"/>
          </w:tcPr>
          <w:p>
            <w:pPr>
              <w:spacing w:after="0" w:line="162" w:lineRule="exact"/>
              <w:rPr>
                <w:sz w:val="20"/>
                <w:szCs w:val="20"/>
                <w:color w:val="auto"/>
              </w:rPr>
            </w:pPr>
            <w:r>
              <w:rPr>
                <w:rFonts w:ascii="Arial" w:cs="Arial" w:eastAsia="Arial" w:hAnsi="Arial"/>
                <w:sz w:val="15"/>
                <w:szCs w:val="15"/>
                <w:b w:val="1"/>
                <w:bCs w:val="1"/>
                <w:color w:val="auto"/>
              </w:rPr>
              <w:t>Less: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9"/>
        </w:trPr>
        <w:tc>
          <w:tcPr>
            <w:tcW w:w="4240" w:type="dxa"/>
            <w:vAlign w:val="bottom"/>
            <w:shd w:val="clear" w:color="auto" w:fill="CCEEFF"/>
          </w:tcPr>
          <w:p>
            <w:pPr>
              <w:ind w:left="240"/>
              <w:spacing w:after="0" w:line="159" w:lineRule="exact"/>
              <w:rPr>
                <w:sz w:val="20"/>
                <w:szCs w:val="20"/>
                <w:color w:val="auto"/>
              </w:rPr>
            </w:pPr>
            <w:r>
              <w:rPr>
                <w:rFonts w:ascii="Arial" w:cs="Arial" w:eastAsia="Arial" w:hAnsi="Arial"/>
                <w:sz w:val="15"/>
                <w:szCs w:val="15"/>
                <w:color w:val="auto"/>
              </w:rPr>
              <w:t>Tax effect of amortization of intangible assets resulting</w:t>
            </w: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5"/>
        </w:trPr>
        <w:tc>
          <w:tcPr>
            <w:tcW w:w="4240" w:type="dxa"/>
            <w:vAlign w:val="bottom"/>
            <w:shd w:val="clear" w:color="auto" w:fill="CCEEFF"/>
          </w:tcPr>
          <w:p>
            <w:pPr>
              <w:ind w:left="380"/>
              <w:spacing w:after="0" w:line="166" w:lineRule="exact"/>
              <w:rPr>
                <w:sz w:val="20"/>
                <w:szCs w:val="20"/>
                <w:color w:val="auto"/>
              </w:rPr>
            </w:pPr>
            <w:r>
              <w:rPr>
                <w:rFonts w:ascii="Arial" w:cs="Arial" w:eastAsia="Arial" w:hAnsi="Arial"/>
                <w:sz w:val="15"/>
                <w:szCs w:val="15"/>
                <w:color w:val="auto"/>
              </w:rPr>
              <w:t>from business acquisitions</w:t>
            </w:r>
          </w:p>
        </w:tc>
        <w:tc>
          <w:tcPr>
            <w:tcW w:w="94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(1,922)</w:t>
            </w:r>
          </w:p>
        </w:tc>
        <w:tc>
          <w:tcPr>
            <w:tcW w:w="940" w:type="dxa"/>
            <w:vAlign w:val="bottom"/>
            <w:gridSpan w:val="2"/>
            <w:shd w:val="clear" w:color="auto" w:fill="CCEEFF"/>
          </w:tcPr>
          <w:p>
            <w:pPr>
              <w:jc w:val="right"/>
              <w:ind w:right="160"/>
              <w:spacing w:after="0" w:line="166" w:lineRule="exact"/>
              <w:rPr>
                <w:sz w:val="20"/>
                <w:szCs w:val="20"/>
                <w:color w:val="auto"/>
              </w:rPr>
            </w:pPr>
            <w:r>
              <w:rPr>
                <w:rFonts w:ascii="Arial" w:cs="Arial" w:eastAsia="Arial" w:hAnsi="Arial"/>
                <w:sz w:val="15"/>
                <w:szCs w:val="15"/>
                <w:color w:val="auto"/>
              </w:rPr>
              <w:t>(30,120)</w:t>
            </w:r>
          </w:p>
        </w:tc>
        <w:tc>
          <w:tcPr>
            <w:tcW w:w="940" w:type="dxa"/>
            <w:vAlign w:val="bottom"/>
            <w:gridSpan w:val="2"/>
            <w:shd w:val="clear" w:color="auto" w:fill="CCEEFF"/>
          </w:tcPr>
          <w:p>
            <w:pPr>
              <w:jc w:val="right"/>
              <w:ind w:right="68"/>
              <w:spacing w:after="0" w:line="166" w:lineRule="exact"/>
              <w:rPr>
                <w:sz w:val="20"/>
                <w:szCs w:val="20"/>
                <w:color w:val="auto"/>
              </w:rPr>
            </w:pPr>
            <w:r>
              <w:rPr>
                <w:rFonts w:ascii="Arial" w:cs="Arial" w:eastAsia="Arial" w:hAnsi="Arial"/>
                <w:sz w:val="15"/>
                <w:szCs w:val="15"/>
                <w:color w:val="auto"/>
              </w:rPr>
              <w:t>(47,320)</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(7,222)</w:t>
            </w:r>
          </w:p>
        </w:tc>
        <w:tc>
          <w:tcPr>
            <w:tcW w:w="96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(12,028)</w:t>
            </w:r>
          </w:p>
        </w:tc>
        <w:tc>
          <w:tcPr>
            <w:tcW w:w="960" w:type="dxa"/>
            <w:vAlign w:val="bottom"/>
            <w:gridSpan w:val="2"/>
            <w:shd w:val="clear" w:color="auto" w:fill="CCEEFF"/>
          </w:tcPr>
          <w:p>
            <w:pPr>
              <w:jc w:val="right"/>
              <w:ind w:right="140"/>
              <w:spacing w:after="0" w:line="166" w:lineRule="exact"/>
              <w:rPr>
                <w:sz w:val="20"/>
                <w:szCs w:val="20"/>
                <w:color w:val="auto"/>
              </w:rPr>
            </w:pPr>
            <w:r>
              <w:rPr>
                <w:rFonts w:ascii="Arial" w:cs="Arial" w:eastAsia="Arial" w:hAnsi="Arial"/>
                <w:sz w:val="15"/>
                <w:szCs w:val="15"/>
                <w:color w:val="auto"/>
              </w:rPr>
              <w:t>(19,459)</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6" w:lineRule="exact"/>
              <w:rPr>
                <w:sz w:val="20"/>
                <w:szCs w:val="20"/>
                <w:color w:val="auto"/>
              </w:rPr>
            </w:pPr>
            <w:r>
              <w:rPr>
                <w:rFonts w:ascii="Arial" w:cs="Arial" w:eastAsia="Arial" w:hAnsi="Arial"/>
                <w:sz w:val="15"/>
                <w:szCs w:val="15"/>
                <w:color w:val="auto"/>
              </w:rPr>
              <w:t>(2,970)</w:t>
            </w:r>
          </w:p>
        </w:tc>
      </w:tr>
      <w:tr>
        <w:trPr>
          <w:trHeight w:val="203"/>
        </w:trPr>
        <w:tc>
          <w:tcPr>
            <w:tcW w:w="4240" w:type="dxa"/>
            <w:vAlign w:val="bottom"/>
          </w:tcPr>
          <w:p>
            <w:pPr>
              <w:ind w:left="240"/>
              <w:spacing w:after="0"/>
              <w:rPr>
                <w:sz w:val="20"/>
                <w:szCs w:val="20"/>
                <w:color w:val="auto"/>
              </w:rPr>
            </w:pPr>
            <w:r>
              <w:rPr>
                <w:rFonts w:ascii="Arial" w:cs="Arial" w:eastAsia="Arial" w:hAnsi="Arial"/>
                <w:sz w:val="15"/>
                <w:szCs w:val="15"/>
                <w:color w:val="auto"/>
              </w:rPr>
              <w:t>Fair value change in warranty liabilities</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(23,781)</w:t>
            </w:r>
          </w:p>
        </w:tc>
        <w:tc>
          <w:tcPr>
            <w:tcW w:w="9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360"/>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60" w:type="dxa"/>
            <w:vAlign w:val="bottom"/>
            <w:gridSpan w:val="3"/>
          </w:tcPr>
          <w:p>
            <w:pPr>
              <w:jc w:val="right"/>
              <w:ind w:right="38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27"/>
        </w:trPr>
        <w:tc>
          <w:tcPr>
            <w:tcW w:w="4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Adjusted net loss</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(209,981)</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(538,380)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5"/>
                <w:szCs w:val="15"/>
                <w:b w:val="1"/>
                <w:bCs w:val="1"/>
                <w:color w:val="auto"/>
              </w:rPr>
              <w:t>(202,815)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(30,956)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(118,193)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(36,402)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rPr>
              <w:t>(5,555)</w:t>
            </w:r>
          </w:p>
        </w:tc>
      </w:tr>
      <w:tr>
        <w:trPr>
          <w:trHeight w:val="20"/>
        </w:trPr>
        <w:tc>
          <w:tcPr>
            <w:tcW w:w="4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181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21812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Data</w:t>
      </w:r>
    </w:p>
    <w:p>
      <w:pPr>
        <w:spacing w:after="0" w:line="234" w:lineRule="exact"/>
        <w:rPr>
          <w:sz w:val="20"/>
          <w:szCs w:val="20"/>
          <w:color w:val="auto"/>
        </w:rPr>
      </w:pPr>
    </w:p>
    <w:p>
      <w:pPr>
        <w:ind w:left="300" w:right="360" w:firstLine="532"/>
        <w:spacing w:after="0"/>
        <w:rPr>
          <w:sz w:val="20"/>
          <w:szCs w:val="20"/>
          <w:color w:val="auto"/>
        </w:rPr>
      </w:pPr>
      <w:r>
        <w:rPr>
          <w:rFonts w:ascii="Arial" w:cs="Arial" w:eastAsia="Arial" w:hAnsi="Arial"/>
          <w:sz w:val="18"/>
          <w:szCs w:val="18"/>
          <w:color w:val="auto"/>
        </w:rPr>
        <w:t>We regularly review a number of key operating data to evaluate our business, measure our performance, identify trends, formulate financial projections and make strategic decisions. The following table presents certain of our key operating data for the periods indicated:</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39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For the Year Ended December 31,</w:t>
            </w:r>
          </w:p>
        </w:tc>
        <w:tc>
          <w:tcPr>
            <w:tcW w:w="308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56"/>
        </w:trPr>
        <w:tc>
          <w:tcPr>
            <w:tcW w:w="366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96"/>
        </w:trPr>
        <w:tc>
          <w:tcPr>
            <w:tcW w:w="3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GMV (in billions of RMB)</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7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w w:val="87"/>
              </w:rPr>
              <w:t>6.2</w:t>
            </w:r>
          </w:p>
        </w:tc>
        <w:tc>
          <w:tcPr>
            <w:tcW w:w="60" w:type="dxa"/>
            <w:vAlign w:val="bottom"/>
            <w:shd w:val="clear" w:color="auto" w:fill="CCEEFF"/>
          </w:tcPr>
          <w:p>
            <w:pPr>
              <w:spacing w:after="0"/>
              <w:rPr>
                <w:sz w:val="17"/>
                <w:szCs w:val="17"/>
                <w:color w:val="auto"/>
              </w:rPr>
            </w:pPr>
          </w:p>
        </w:tc>
      </w:tr>
      <w:tr>
        <w:trPr>
          <w:trHeight w:val="203"/>
        </w:trPr>
        <w:tc>
          <w:tcPr>
            <w:tcW w:w="3660" w:type="dxa"/>
            <w:vAlign w:val="bottom"/>
          </w:tcPr>
          <w:p>
            <w:pPr>
              <w:ind w:left="360"/>
              <w:spacing w:after="0" w:line="202" w:lineRule="exact"/>
              <w:rPr>
                <w:sz w:val="20"/>
                <w:szCs w:val="20"/>
                <w:color w:val="auto"/>
              </w:rPr>
            </w:pPr>
            <w:r>
              <w:rPr>
                <w:rFonts w:ascii="Arial" w:cs="Arial" w:eastAsia="Arial" w:hAnsi="Arial"/>
                <w:sz w:val="18"/>
                <w:szCs w:val="18"/>
                <w:color w:val="auto"/>
              </w:rPr>
              <w:t>GMV for product sales</w:t>
            </w:r>
          </w:p>
        </w:tc>
        <w:tc>
          <w:tcPr>
            <w:tcW w:w="12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3.3</w:t>
            </w:r>
          </w:p>
        </w:tc>
        <w:tc>
          <w:tcPr>
            <w:tcW w:w="134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3.9</w:t>
            </w: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4.6</w:t>
            </w:r>
          </w:p>
        </w:tc>
        <w:tc>
          <w:tcPr>
            <w:tcW w:w="194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0.6</w:t>
            </w:r>
          </w:p>
        </w:tc>
        <w:tc>
          <w:tcPr>
            <w:tcW w:w="1140" w:type="dxa"/>
            <w:vAlign w:val="bottom"/>
            <w:gridSpan w:val="2"/>
          </w:tcPr>
          <w:p>
            <w:pPr>
              <w:ind w:left="840"/>
              <w:spacing w:after="0" w:line="202" w:lineRule="exact"/>
              <w:rPr>
                <w:sz w:val="20"/>
                <w:szCs w:val="20"/>
                <w:color w:val="auto"/>
              </w:rPr>
            </w:pPr>
            <w:r>
              <w:rPr>
                <w:rFonts w:ascii="Arial" w:cs="Arial" w:eastAsia="Arial" w:hAnsi="Arial"/>
                <w:sz w:val="18"/>
                <w:szCs w:val="18"/>
                <w:color w:val="auto"/>
              </w:rPr>
              <w:t>1.4</w:t>
            </w:r>
          </w:p>
        </w:tc>
      </w:tr>
      <w:tr>
        <w:trPr>
          <w:trHeight w:val="203"/>
        </w:trPr>
        <w:tc>
          <w:tcPr>
            <w:tcW w:w="3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GMV for online marketplaces</w:t>
            </w:r>
          </w:p>
        </w:tc>
        <w:tc>
          <w:tcPr>
            <w:tcW w:w="12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2.4</w:t>
            </w:r>
          </w:p>
        </w:tc>
        <w:tc>
          <w:tcPr>
            <w:tcW w:w="134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8.3</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6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2.4</w:t>
            </w:r>
          </w:p>
        </w:tc>
        <w:tc>
          <w:tcPr>
            <w:tcW w:w="114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4.8</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Number of consumer products</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3660" w:type="dxa"/>
            <w:vAlign w:val="bottom"/>
          </w:tcPr>
          <w:p>
            <w:pPr>
              <w:ind w:left="180"/>
              <w:spacing w:after="0"/>
              <w:rPr>
                <w:sz w:val="20"/>
                <w:szCs w:val="20"/>
                <w:color w:val="auto"/>
              </w:rPr>
            </w:pPr>
            <w:r>
              <w:rPr>
                <w:rFonts w:ascii="Arial" w:cs="Arial" w:eastAsia="Arial" w:hAnsi="Arial"/>
                <w:sz w:val="18"/>
                <w:szCs w:val="18"/>
                <w:color w:val="auto"/>
              </w:rPr>
              <w:t>transacted (in million)</w:t>
            </w:r>
          </w:p>
        </w:tc>
        <w:tc>
          <w:tcPr>
            <w:tcW w:w="1220" w:type="dxa"/>
            <w:vAlign w:val="bottom"/>
            <w:gridSpan w:val="2"/>
          </w:tcPr>
          <w:p>
            <w:pPr>
              <w:jc w:val="right"/>
              <w:ind w:right="720"/>
              <w:spacing w:after="0"/>
              <w:rPr>
                <w:sz w:val="20"/>
                <w:szCs w:val="20"/>
                <w:color w:val="auto"/>
              </w:rPr>
            </w:pPr>
            <w:r>
              <w:rPr>
                <w:rFonts w:ascii="Arial" w:cs="Arial" w:eastAsia="Arial" w:hAnsi="Arial"/>
                <w:sz w:val="18"/>
                <w:szCs w:val="18"/>
                <w:color w:val="auto"/>
              </w:rPr>
              <w:t>6.9</w:t>
            </w: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68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Arial" w:cs="Arial" w:eastAsia="Arial" w:hAnsi="Arial"/>
                <w:sz w:val="18"/>
                <w:szCs w:val="18"/>
                <w:color w:val="auto"/>
              </w:rPr>
              <w:t>3.8</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6.4</w:t>
            </w: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Note: For definitions of our key operating metrics, see “Prospectus Summary—Conventions that Apply to this Prospectus.”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i w:val="1"/>
          <w:iCs w:val="1"/>
          <w:color w:val="auto"/>
        </w:rPr>
        <w:t>An investment in our ADSs involves significant risks. You should consider carefully all of the information in this prospectus, including the risks and uncertainties described below, before making an investment in our ADSs. Any of the following risks could have a material and adverse effect on our business, financial condition and results of operations. In any such case, the market price of our ADSs could decline, and you may lose all or part of your investment.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Our industry is rapidly evolving and our business model may not continue to be successful or achieve wide acceptance as we anticipated.</w:t>
      </w:r>
    </w:p>
    <w:p>
      <w:pPr>
        <w:spacing w:after="0" w:line="68" w:lineRule="exact"/>
        <w:rPr>
          <w:sz w:val="20"/>
          <w:szCs w:val="20"/>
          <w:color w:val="auto"/>
        </w:rPr>
      </w:pPr>
    </w:p>
    <w:p>
      <w:pPr>
        <w:ind w:left="120" w:right="60" w:firstLine="551"/>
        <w:spacing w:after="0" w:line="235" w:lineRule="auto"/>
        <w:rPr>
          <w:sz w:val="20"/>
          <w:szCs w:val="20"/>
          <w:color w:val="auto"/>
        </w:rPr>
      </w:pPr>
      <w:r>
        <w:rPr>
          <w:rFonts w:ascii="Arial" w:cs="Arial" w:eastAsia="Arial" w:hAnsi="Arial"/>
          <w:sz w:val="18"/>
          <w:szCs w:val="18"/>
          <w:color w:val="auto"/>
        </w:rPr>
        <w:t>The pre-owned consumer electronics transactions and services industry in China is still at an early stage of development and is rapidly evolving. There are few well-established and widely-accepted transactions and services platforms for pre-owned consumer electronics, nor are there any industry standards in pricing pre-owned consumer electronics and the pre-owned consumer electronics transactions and services market in general. Since the commencement of our business operations in 2011, we have also been trying different business strategies to explore the most effective business model for our operations. Although we are now the leader in the pre-owned consumer electronics transactions and services industry in China, we believe that our business model is novel and we have a limited operating history on which investors can evaluate our business and prospects. Specifically, we only began operating our merchant online marketplace, PJT, in late 2017 and our consumer online marketplace, Paipai, in 2019 and we have not yet demonstrated our ability to generate significant revenue or be profitable. There is no guarantee that our business model will continue to be successful or achieve wide acceptance as quickly or in a magnitude as we anticipated. As there are few comparable companies and established players in the market, we have to explore different business practices, formulate pricing strategies, set up procedures and standards by ourselves and learn from our own experience. Given that we have a limited history operating online marketplaces, we cannot assure you that we will be able to successfully anticipate and respond to industry trends and customer behavior, especially as we continue to broaden our customer base and diversify our product offerings. A potential investor in our ADSs should carefully consider the risks and difficulties frequently encountered by companies in an early stage of development, as well as the risks we face due to our participation in a new and rapidly evolving industry, and our attempt to execute on a new and untested business model. Our business model may not be successful, or we may not successfully overcome the risks associated with this business model.</w:t>
      </w:r>
    </w:p>
    <w:p>
      <w:pPr>
        <w:spacing w:after="0" w:line="299" w:lineRule="exact"/>
        <w:rPr>
          <w:sz w:val="20"/>
          <w:szCs w:val="20"/>
          <w:color w:val="auto"/>
        </w:rPr>
      </w:pPr>
    </w:p>
    <w:p>
      <w:pPr>
        <w:jc w:val="both"/>
        <w:ind w:left="120" w:right="240"/>
        <w:spacing w:after="0" w:line="301" w:lineRule="auto"/>
        <w:rPr>
          <w:sz w:val="20"/>
          <w:szCs w:val="20"/>
          <w:color w:val="auto"/>
        </w:rPr>
      </w:pPr>
      <w:r>
        <w:rPr>
          <w:rFonts w:ascii="Arial" w:cs="Arial" w:eastAsia="Arial" w:hAnsi="Arial"/>
          <w:sz w:val="17"/>
          <w:szCs w:val="17"/>
          <w:b w:val="1"/>
          <w:bCs w:val="1"/>
          <w:i w:val="1"/>
          <w:iCs w:val="1"/>
          <w:color w:val="auto"/>
        </w:rPr>
        <w:t>If we fail to attract and engage consumers, third-party merchants or other participants in the pre-owned consumer electronics value chain, or provide them with superior experience, our business and reputation may be materially and adversely affected.</w:t>
      </w:r>
    </w:p>
    <w:p>
      <w:pPr>
        <w:spacing w:after="0" w:line="45"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The success of our business hinges on our ability to engage consumers, third-party merchants or other participants in the pre-owned consumer electronics value chain and our ability to provide a superior experience to them, which in turn depends on a variety of factors. These factors include our ability to</w:t>
      </w:r>
    </w:p>
    <w:p>
      <w:pPr>
        <w:spacing w:after="0" w:line="108" w:lineRule="exact"/>
        <w:rPr>
          <w:sz w:val="20"/>
          <w:szCs w:val="20"/>
          <w:color w:val="auto"/>
        </w:rPr>
      </w:pPr>
    </w:p>
    <w:p>
      <w:pPr>
        <w:ind w:left="880" w:hanging="224"/>
        <w:spacing w:after="0" w:line="24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into new product categories and provide additional value-added services in a timely manner to address evolving demand of consumers and third-party merchants,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the reliability of our inspection, grading and pricing process,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to consumers and third-party merchants products of quality that meet their expectations,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 and manage consumers and third-party merchants on our online marketplaces,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offer competitive prices for pre-owned consumer electronics/goods,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cooperate with existing business partners or develop new business partners,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innovate and enhance the functionality, performance, reliability, design, security, and scalability of our platform,</w:t>
      </w:r>
    </w:p>
    <w:p>
      <w:pPr>
        <w:spacing w:after="0" w:line="117"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and improve operating efficiency, reliability and customer experience of online transactions and service quality of our offline networks and personnel,</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expand our AHS store networks,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leverage technology and data to improve our services,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superior after-sales service.</w:t>
      </w:r>
    </w:p>
    <w:p>
      <w:pPr>
        <w:spacing w:after="0" w:line="21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cannot guarantee you that we will always be able to provide a superior experience to consumers and third-party merchants as our business continues to evolve. Failure to do so could materially and adversely affect our business, financial condition and results of operations.</w:t>
      </w:r>
    </w:p>
    <w:p>
      <w:pPr>
        <w:spacing w:after="0" w:line="28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If we are unable to maintain our existing customer base and attract new customers, our business, financial condition and results of operations may be materially and adversely affected.</w:t>
      </w:r>
    </w:p>
    <w:p>
      <w:pPr>
        <w:spacing w:after="0" w:line="68" w:lineRule="exact"/>
        <w:rPr>
          <w:sz w:val="20"/>
          <w:szCs w:val="20"/>
          <w:color w:val="auto"/>
        </w:rPr>
      </w:pPr>
    </w:p>
    <w:p>
      <w:pPr>
        <w:ind w:left="120" w:right="60" w:firstLine="551"/>
        <w:spacing w:after="0" w:line="235" w:lineRule="auto"/>
        <w:rPr>
          <w:sz w:val="20"/>
          <w:szCs w:val="20"/>
          <w:color w:val="auto"/>
        </w:rPr>
      </w:pPr>
      <w:r>
        <w:rPr>
          <w:rFonts w:ascii="Arial" w:cs="Arial" w:eastAsia="Arial" w:hAnsi="Arial"/>
          <w:sz w:val="18"/>
          <w:szCs w:val="18"/>
          <w:color w:val="auto"/>
        </w:rPr>
        <w:t>Our future growth depends on our ability to maintain our existing customer base and attract new customers, including consumers and third-party merchants, to our platform. In order to expand our customer base, we have established our platform with both online and offline channels to maximize our access to potential consumers who intend to trade in or sell their personal electronics. We have also cooperated with well-known cell phone brands to provide potential buyers with a trade-in option. In addition, we also partnered with JD Group to acquire user traffic for our platform. However, we cannot assure you we will be successful in maintaining our existing customer base and attracting new customers. The pre-owned consumer electronics transactions and services industry in China is still at an early stage of development. Consumers may not be willing to trade in or recycle their personal electronics or purchase pre-owned consumer electronics for various reasons. Our existing consumers who are receptive to trade-in or recycling of personal electronics or purchasing pre-owned consumer electronics may find services provided by our competitors more attractive and choose to trade in, recycle or purchase on our competitors’ platforms. As a result, we may not be able to effectively maintain and grow our customer base, which would result in a lower volume of pre-owned consumer electronics traded on our platform and thus negatively and adversely affect our business, financial condition and results of operations. Furthermore, public perception that pre-owned consumer electronics sold on our platform may be counterfeit or defective, even if factually incorrect or based on isolated incidents, could damage our reputation and have a negative impact on our ability to attract new customers or retain existing customers. If we are unable to maintain or increase positive awareness of our platform and our services, it may be difficult for us to maintain and grow our customer base, and our business, growth prospects, results of operations and financial condition may be materially and adversely affected.</w:t>
      </w:r>
    </w:p>
    <w:p>
      <w:pPr>
        <w:spacing w:after="0" w:line="299"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Any deterioration in our relationships with our major business partners, such as JD Group, may adversely affect our business prospects and business operations.</w:t>
      </w:r>
    </w:p>
    <w:p>
      <w:pPr>
        <w:spacing w:after="0" w:line="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Collaboration with our business partners such as JD Group and consumer electronics brands has been our key strategy to grow our customer base and increase the supply of pre-owned consumer electronics. Our business has benefited from our collaborations with our major business partners and we expect to continue to rely on them for the foreseeable future. See “Business—Our Strategic Partners” for more details of our collaboration with our business partners. If we are unable to maintain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20"/>
        <w:spacing w:after="0" w:line="274" w:lineRule="auto"/>
        <w:rPr>
          <w:sz w:val="20"/>
          <w:szCs w:val="20"/>
          <w:color w:val="auto"/>
        </w:rPr>
      </w:pPr>
      <w:r>
        <w:rPr>
          <w:rFonts w:ascii="Arial" w:cs="Arial" w:eastAsia="Arial" w:hAnsi="Arial"/>
          <w:sz w:val="17"/>
          <w:szCs w:val="17"/>
          <w:color w:val="auto"/>
        </w:rPr>
        <w:t>our cooperative relationships with any of these business partners, it may be very difficult for us to identify qualified alternative business partners, and may divert significant management attention from existing business operations and adversely impact our daily operation.</w:t>
      </w:r>
    </w:p>
    <w:p>
      <w:pPr>
        <w:spacing w:after="0" w:line="175"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In June 2019, we entered into a five-year framework business cooperation agreement, as amended, with JD Group covering extensive cooperation in areas such as user traffic, marketing, research and development, commission sharing, supply chain and logistics, and customer service and after-sales services. In 2020 and the three months ended March 31, 2021, the GMV of the pre-owned consumer electronics we collected through our AHS Recycle from JD Group’s platforms accounted for approximately 10.0% and 9.2% of our total GMV, respectively. If we are unable to maintain our collaboration with JD Group or if JD Group builds or invests in similar business as ours after the term of the agreement, our business, results of operations and financial condition would be materially and adversely affected. Even if we are able to maintain our relationship with JD Group, if JD Group experiences a business deterioration, a decline in market position or market share, or a damage to its brand image or reputation, our business and results of operations may also be negatively affected due to our reliance on and close relationship with JD Group and our customers’ trust on us may also diminish. In the event that we fail to maintain our relationship with JD Group, we cannot assure you that we will be able to establish a similar cooperative relationship with a comparable business partner under commercially reasonable terms in a timely manner. In addition, our business collaboration arrangement with JD Group contain certain undertakings made by JD Group that are beneficial to us. These undertakings, however, are contingent on our continuing to meet certain conditions. If we are unable to meet these requirements, the scope of our collaboration with JD Group could diminish significantly and the business collaboration arrangement with JD Group could even be terminated under certain circumstance, all of which could materially and adversely affect our business, results of operations and financial condition.</w:t>
      </w:r>
    </w:p>
    <w:p>
      <w:pPr>
        <w:spacing w:after="0" w:line="199" w:lineRule="exact"/>
        <w:rPr>
          <w:sz w:val="20"/>
          <w:szCs w:val="20"/>
          <w:color w:val="auto"/>
        </w:rPr>
      </w:pPr>
    </w:p>
    <w:p>
      <w:pPr>
        <w:ind w:left="120" w:right="20" w:firstLine="551"/>
        <w:spacing w:after="0" w:line="261" w:lineRule="auto"/>
        <w:rPr>
          <w:sz w:val="20"/>
          <w:szCs w:val="20"/>
          <w:color w:val="auto"/>
        </w:rPr>
      </w:pPr>
      <w:r>
        <w:rPr>
          <w:rFonts w:ascii="Arial" w:cs="Arial" w:eastAsia="Arial" w:hAnsi="Arial"/>
          <w:sz w:val="17"/>
          <w:szCs w:val="17"/>
          <w:color w:val="auto"/>
        </w:rPr>
        <w:t>In addition to our strategic relationship with JD Group, JD Group also has a significant influence on our overall business operations. As of the date of this prospectus, JD Group holds approximately 34.7% of our total issued and outstanding shares. As a result, JD Group may have a conflict of interest with us and prevent us from engaging in transactions that may be beneficial to you as a holder of ADSs.</w:t>
      </w:r>
    </w:p>
    <w:p>
      <w:pPr>
        <w:spacing w:after="0" w:line="18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Apart from JD Group, we have also entered into business collaboration arrangements with other business partners, such as branded consumer electronics manufacturers and distributors, to expand source of supply for pre-owned consumer electronics. We cannot assure you that we are able to maintain our relationships with our major business partners in the future. We may not be able to successfully extend or renew our current business collaboration arrangements with these business partners on commercially reasonable terms, or at all, upon expiration or early termination of the current arrangements. Furthermore, we, our employees and our business partners may inadvertently breach certain provisions and therefore subject us to liabilities under these arrangements. Disputes may also arise due to reasons that we are unable to foresee. If we are unable to resolve disputes with our business partners, we may not be able to continue our cooperation with them. In addition, certain of our business partners were sanctioned by the U.S. government. It is possible that we may have to cease cooperation with these business partners so as to be compliant with the relevant U.S. laws as a U.S. listed company. As a result, transaction volume on our platform, our results of operations and financial conditions could be materially and adversely affected.</w:t>
      </w:r>
    </w:p>
    <w:p>
      <w:pPr>
        <w:spacing w:after="0" w:line="29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If we are unable to manage our growth or execute our strategies effectively, our business and prospects may be materially and adversely affected.</w:t>
      </w:r>
    </w:p>
    <w:p>
      <w:pPr>
        <w:spacing w:after="0" w:line="68"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Our business has continued to grow in recent years, and we expect continued growth in our business and revenues. We plan to further expand our sources of supply and continue to empower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industry participants. For example, we plan to further expand our AHS store network into lower-tier cities and strengthen our cooperation with JD Group to increase customer traffic on our platform. In addition, we plan to further strengthen the industry leading infrastructure and standards we established by further upgrading our operations centers to improve the accuracy, speed, and cost-effectiveness of our proprietary inspection, grading, and pricing of pre-owned devices. To support our growth, we will also continue to improve our technology capabilities, such as upgrading our operation centers with new automation technologies and further optimizing our pricing engine by continuing to leverage the data insights, and grow our international presence by collaborating with resellers in new geographic locations such as South East Asia, Latin America, and Africa to increase the global circulation of pre-owned devices from China and export our technology and service offerings to device resellers in these international markets. All these efforts will require significant managerial, financial and human resources. We cannot assure you that we will be able to effectively manage our growth or to implement all these systems, procedures and control measures successfully or that our new business initiatives will be successful. If we are not able to manage our growth or execute our strategies effectively, our expansion may not be successful and our business and prospects may be materially and adversely affected.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not profitable and have negative net cash flows from operating activities, which may continue in the future.</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not been profitable since our inception in 2011. We incurred net losses of RMB207.9 million in 2018, RMB704.9 million in 2019 and RMB470.6 million (US$71.8 million) in 2020. We incurred net losses of RMB186.3 million and RMB94.8 million (US$14.5 million) for the three months ended March 31, 2020 and 2021, respectively. In addition, we had negative net cash flows from operating activities of RMB358.0 million in 2018, RMB410.8 million in 2019, RMB412.9 million (US$63.0 million) in 2020 and RMB302.5 million (US$46.2 million) for the three months ended March 31, 2021. We may continue to make significant investments in technologies and further develop and expand our business and these investments may not result in an increase in revenue or positive net cash flows from our operations on a timely basis, or at all.</w:t>
      </w:r>
    </w:p>
    <w:p>
      <w:pPr>
        <w:spacing w:after="0" w:line="203"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We may incur substantial losses and negative net cash flows from our operations in the future for a number of reasons, including decreasing demand or slower than expected increase in demand for pre-owned consumer electronics and our services, increasing competition, as well as other risks discussed herein, and we may incur unforeseen expenses, or encounter difficulties, complications and delays in generating revenue or achieving profitability. If our revenues decrease, we may not be able to reduce our costs and expenses proportionally in a timely manner because a significant portion of our costs and expenses are fixed. In addition, if we reduce our costs and expenses, we may limit our ability to acquire consumers and third-party merchants and grow our revenues. Accordingly, we may not be able to achieve profitability and we may continue to incur net losses in the future.</w:t>
      </w:r>
    </w:p>
    <w:p>
      <w:pPr>
        <w:spacing w:after="0" w:line="28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b w:val="1"/>
          <w:bCs w:val="1"/>
          <w:i w:val="1"/>
          <w:iCs w:val="1"/>
          <w:color w:val="auto"/>
        </w:rPr>
        <w:t>The growth and profitability of our business depend on the level of consumer demand and discretionary spending. A severe or prolonged economic downturn in China or around the world could materially and adversely affect consumer discretionary spending and therefore adversely affect our business, financial condition and results of operations.</w:t>
      </w:r>
    </w:p>
    <w:p>
      <w:pPr>
        <w:spacing w:after="0" w:line="8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success of our business depends, to a significant extent, on the level of consumer demand and discretionary spending both in China and in the international markets where we operate. A number of factors beyond our control may affect the level of consumer demand and discretionary spending on merchandise that we offer, including, among other things:</w:t>
      </w:r>
    </w:p>
    <w:p>
      <w:pPr>
        <w:spacing w:after="0" w:line="108"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and industry conditions;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disposable income of consumers;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discounts, promotions and merchandise offered by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reports and publicity about the pre-owned consumer electronics transactions and services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outbreak of viruses or widespread illness, including COVID-19 caused by the novel coronavirus;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unemployment levels;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minimum wages and personal debt levels of consumers;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access to consumption loans by consumers;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consumer confidence in future economic conditions;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the financial markets;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war, terrorism and other hostilities.</w:t>
      </w:r>
    </w:p>
    <w:p>
      <w:pPr>
        <w:spacing w:after="0" w:line="21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Reduced consumer confidence and spending cut backs may result in reduced demand for pre-owned consumer electronics sold on our online marketplaces. Reduced demand also may require increased selling and promotional expenses. Adverse economic conditions and any related decrease in consumer demand for pre-owned consumer electronics could have a material adverse effect on our business, financial condition and results of operations. For example, COVID-19 pandemic has reduced the number of trips consumers make to brick-and-mortar stores, including offline AHS stores. COVID-19 pandemic has also resulted in a severe and negative impact on the Chinese and the global economy. Negative economic conditions related to this outbreak may limit the consumer confidence and the amount of disposable income available to consumers, which may impact our consumer demand. Whether the pandemic will lead to a prolonged downturn in the economy is still unknown. If this outbreak persists, commercial activities throughout the world could be curtailed with decreased consumer spending, business disruptions, interrupted supply chains and difficulties in travel. Our business has been adversely affected by the outbreak of COVID-19. The extent to which COVID-19 impacts our results will depend on future developments, which are highly uncertain and cannot be predicted. Even before the outbreak of COVID-19, the global macroeconomic environment was facing numerous challenges. The growth rate of the Chinese economy has been slowing down. There is considerable uncertainty over the long-term effects of the expansionary monetary and fiscal policies which had been adopted by the central banks and financial authorities of some of the world’s leading economies, including the United States and China, even before 2020. Unrest, terrorist threats and the potential for war in the Middle East and elsewhere may increase market volatility across the globe. There have also been concerns about the relationship between China and other countries, including but not limited to the surrounding Asian countries, which may potentially have economic impact. In particular, there is significant uncertainty about the future relationship between the United States and China with respect to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addition, many of the factors identified above also affect commodity rates, transportation costs, interest rates, costs of labor, insurance and healthcare, lease costs, measures that create barriers to or increase the costs associated with international trade, changes in other laws and regulations and other economic factors, all of which may impact our cost of sales, our selling and distribution expenses, and general and administrative expenses, which could have a material adverse effect on our business, financial condition and results of operations.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operations have been and may continue to be affected by the COVID-19 pandemic.</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Our business and financial performance have been adversely affected by the outbreaks of COVID-19. In order to protect the health and well-being of our employees and consumers, we and our AHS store partners started to temporarily close offline AHS stores in China in late January 2020 and reduced operating hours at offline AHS stores that remained open. We also closed our headquarters and offices and made remote working arrangements. The unplanned store closures, resulted in peak closures of a vast majority of offline AHS stores in China in early February 2020. Since that time, the vast majority of offline AHS stores and our headquarters and offices have been reopened in a disciplined manner. By the end of March 2020, all offline AHS stores in China had reopened and operated under normal business hours. Due to such store closures, our operating results in the first quarter of 2020 was negatively affected. The store closure also negatively affected the expansion of our AHS store network. In the first half of 2020, we experienced a decrease in the number of offline AHS stores in China. Our GMV for product sales for the first quarter of 2020 was adversely affected by the temporary closure of offline AHS stores, which negatively affected our collection of pre-owned consumer electronics through offline AHS stores. GMV for product sales decreased from RMB831.5 million in the first quarter of 2019 to RMB625.0 million in the first quarter of 2020. In addition, our inventory level was also negatively affected by such store closures. See “—If we fail to manage our inventory effectively, our results of operations, financial condition and liquidity may be materially and adversely affected” for more information. Besides, we also temporarily closed our regional operation centers in early 2020 due to COVID-19 outbreak. See “—We are subject to certain risks relating to third-party logistics services and our operation centers” for more information.</w:t>
      </w:r>
    </w:p>
    <w:p>
      <w:pPr>
        <w:spacing w:after="0" w:line="213"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Although COVID-19 has been successfully contained in China, COVID-19 remains a global pandemic and different variants of coronavirus have also emerged in different locations around the world. As COVID-19 pandemic continues to rapidly evolve and there is great uncertainty as to the future progress of the disease, we cannot anticipate with any certainty the length or severity of the effects of COVID-19. Our business operations, results of operations and financial condition could be further adversely affected if a wide spread of COVID-19 happens again in the locations where we or our business partners have business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effectively and accurately inspect, grade and price pre-owned goods, in particular, consumer electronics.</w:t>
      </w:r>
    </w:p>
    <w:p>
      <w:pPr>
        <w:spacing w:after="0" w:line="12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We provide inspection, grading and pricing services for a large portion of pre-owned consumer electronics sourced by third-party merchants and sold on our online marketplaces. We also inspect, grade and price pre-owned consumer electronics we collect before selling them on our online marketplaces. As there are no uniform or established standards or practices for inspecting, grading and pricing pre-owned consumer electronics in the market, we have developed our own inspection procedures, grading system and pricing mechanism over years of our business operations. We cannot assure you that our business practices represent the best practice in the pre-owned consumer electronics transactions and services industry or that they will yield maximum commercial benefits. We may not be able to identify all potential defects of pre-owned consumer electronics traded on our platform and grade them accurately. Even if we are able to do so, we cannot guarantee you that the prices we assign to those pre-owned consumer electronics reflect the actual or fair value of those pre-owned consumer electronics. If consumers or third-party merchants on our platform believe that the prices determined or suggested by us do not reflect the fair value or their deemed value of the pre-owned consumer electronics they are going to sell on our online marketplaces, they may choose other platforms over us, which in turn would result in our losing of customer base, a decline in transaction volume on our online marketplaces and/or a decrease in the supply of pre-owned consumer electronics, either of which could materially and adversely affect our business, results of operations and financial condition.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b w:val="1"/>
          <w:bCs w:val="1"/>
          <w:i w:val="1"/>
          <w:iCs w:val="1"/>
          <w:color w:val="auto"/>
        </w:rPr>
        <w:t>The price differences between our collection and resale of pre-owned consumer electronics in connection with our self-operated transactions and the fees we charge from transactions on our online marketplaces may fluctuate or decline in the future. Any material decrease in such fees or price differences would harm our business, financial condition and results of operations.</w:t>
      </w:r>
    </w:p>
    <w:p>
      <w:pPr>
        <w:spacing w:after="0" w:line="66" w:lineRule="exact"/>
        <w:rPr>
          <w:sz w:val="20"/>
          <w:szCs w:val="20"/>
          <w:color w:val="auto"/>
        </w:rPr>
      </w:pPr>
    </w:p>
    <w:p>
      <w:pPr>
        <w:ind w:left="120" w:right="480" w:firstLine="551"/>
        <w:spacing w:after="0" w:line="238" w:lineRule="auto"/>
        <w:rPr>
          <w:sz w:val="20"/>
          <w:szCs w:val="20"/>
          <w:color w:val="auto"/>
        </w:rPr>
      </w:pPr>
      <w:r>
        <w:rPr>
          <w:rFonts w:ascii="Arial" w:cs="Arial" w:eastAsia="Arial" w:hAnsi="Arial"/>
          <w:sz w:val="18"/>
          <w:szCs w:val="18"/>
          <w:color w:val="auto"/>
        </w:rPr>
        <w:t>We generate revenues primarily by earning the price differences between our collection and resale of pre-owned consumer electronics, and by charging fees and commissions for transactions and services we provide on our online marketplaces, such as commission fee on our merchant and consumer marketplaces and transaction service fee for value-added services on our consumer marketplace. Maintaining and growing our revenues depends on a number of factors, including:</w:t>
      </w:r>
    </w:p>
    <w:p>
      <w:pPr>
        <w:spacing w:after="0" w:line="110"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deliver superior services;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consumers, third-party merchants, and other participants in the pre-owned consumer electronics value chain;</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average unit price of pre-owned consumer electronics sold on our platform, which may decrease as a result of, among other things, rolling-out of new generations of consumer electronics;</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average commission rate and the average value-added service fee rate that we charge per transaction, which is subject to market condition and competition;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maximize the price differences between the acquisition prices and resale prices;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expand sources of supply for pre-owned consumer electronics;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reach the end-consumers with the pre-owned consumer electronics sold on our platform;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 in other macro-economic changes.</w:t>
      </w:r>
    </w:p>
    <w:p>
      <w:pPr>
        <w:spacing w:after="0" w:line="212"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Any failure to adequately and promptly address any of these risks and uncertainties would materially and adversely affect our business and results of operations.</w:t>
      </w:r>
    </w:p>
    <w:p>
      <w:pPr>
        <w:spacing w:after="0" w:line="283"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If we are unable to expand our AHS store network successfully, our business or results of operations would be adversely affected.</w:t>
      </w:r>
    </w:p>
    <w:p>
      <w:pPr>
        <w:spacing w:after="0" w:line="6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plan to further expand our AHS store network, including automatic recycling kiosks, in lower-tier cities. However, we may not be able to expand our AHS store network as we planned. AHS store network expansion has required and will continue to require substantial investments and commitment of resources. The number and timing of the offline AHS stores actually opened and kiosks placed during any given period are subject to a number of risks and uncertainties, including but not limited to our ability to:</w:t>
      </w:r>
    </w:p>
    <w:p>
      <w:pPr>
        <w:spacing w:after="0" w:line="110"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locations with large customer traffic and commercial potential;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secure leases on commercially reasonable terms;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suitable business partners to join our AHS store network;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efficiently manage our time and cost in relation to the design, decoration and pre-opening processes for AHS stores;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operate AHS stores, including offering superior customer experience;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positive image of AHS stores;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cooperate with more AHS store partners and third parties to install more kiosks;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 sufficient number of kiosks to be installed in AHS store network and various other locations;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adequate funding for development and expansion costs;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the required licenses, permits and approvals;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recruit and retain talents with sufficient experience in the pre-owned consumer electronics transactions and services industry.</w:t>
      </w:r>
    </w:p>
    <w:p>
      <w:pPr>
        <w:spacing w:after="0" w:line="212"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Particularly, we rely on business partners with local resources to join our AHS store network and open AHS stores. However, we may not be able to identify business partners with sufficient resources and strong local ties to collaborate with us. Even if we are able to attract a sufficient number of business partners to join our AHS store network, there is no assurance that they will be willing or able to renew their agreements with us, which may decrease the number of AHS stores in our AHS store network and negatively affect our store expansion plan. We will also need to carefully consider geographical locations of AHS stores in our AHS store network so as to reach consumers to the maximum extent while avoiding cannibalization resulting from geographical proximity among stores.</w:t>
      </w:r>
    </w:p>
    <w:p>
      <w:pPr>
        <w:spacing w:after="0" w:line="20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Any factors listed above, either individually or in aggregate, might delay or fail our plan to increase the number of AHS stores in desirable locations at manageable cost levels. Further, we may not be able to successfully operate our existing AHS stores and may choose to shut down certain AHS stores from time to time due to various reasons. For example, certain of offline AHS stores were shut down in the first half of 2020 primarily due to the COVID-19 outbreak. See “—Our operations have been and may continue to be affected by COVID-19 pandemic.”</w:t>
      </w:r>
    </w:p>
    <w:p>
      <w:pPr>
        <w:spacing w:after="0" w:line="288"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Failure to successfully operate offline AHS stores could materially and adversely harm our reputation, business and results of operations.</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rely on offline AHS stores and kiosks to collect a large portion of pre-owned consumer electronics traded on our online marketplaces. AHS stores and kiosks also serve as a complement to our online AHS operations and help us reach consumers directly. The successful operation of AHS stores hinges on the ability to provide superior experience to consumers and business partners. If we are unable to provide a superior experience, our consumers and business partners may lose confidence in us. In addition, any negative publicity or poor feedback regarding our customer service may harm our brand and reputation and thus cause us to lose customers and market share. Apart from providing superior customer experience, there are also a number of other factors that may affect the successful operation of AHS stores, including, without limitation, our ability to secure premises for AHS stores in locations that are strategically beneficial to our business; our ability to adjust AHS store operations to timely respond to changes in market demand and consumer preferences; our ability to manage costs of in operating AHS stores; our ability to handle negative publicity, allegations, and legal proceedings; our ability to ensure full compliance with relevant laws and regulations, and maintain adequate and effective control, supervision and risk management over AHS stores; and our ability to monitor the overall operation of AHS stores. If we are unable to operate AHS stores successfully, we and our business partners will have to shut down underperforming AHS stores. In 2018, 2019, 2020 and the three months ended March 31, 2021, we closed approximately 203 AHS stores and may continue to do so in the future. We may also terminate our cooperation with our AHS store partners if their business, financial conditions and operating results are below our expectation. In the past, we terminated our cooperation with certain number of AHS store partners due to the underperformance of certain AHS stores. In addition, if our AHS store partners run into financial difficulties or even become bankrupt as a result of unsuccessful operation, our business and results of operations would be adversely affected.</w:t>
      </w:r>
    </w:p>
    <w:p>
      <w:pPr>
        <w:spacing w:after="0" w:line="213"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In addition to our directly operated AHS stores, we also cooperate with AHS store partners to jointly operate a large number of AHS stores. As of March 31, 2021, 310 of all AHS stores are jointly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operated by us and our AHS store partners. We provide trainings to the store operation personnel and offer other necessary supports to help with store management. Successful operations of jointly-operated stores directly affect our results of operations. However, our AHS store partners are independent from us. Despite the fact that we have direct access to key operational data of jointly-operated stores, we do not have a complete control on every aspect of the store operation. The efficiency and effectiveness of the store operations may be compromised if we fail to effectively monitor the store operations. Even if we can effectively monitor the operation of these AHS stores, there are still a number of factors beyond our control which may result in failure by our AHS store partners to successfully operate AHS partner stores in a manner consistent with our standards and requirements. For example, despite the training and support we provide to the AHS partner stores, our AHS store partners may not be able to hire qualified clerks and other store operating personnel or provide optimal customer services, encounter financial difficulties or fail to achieve expected amount of orders, which may negatively affect our results of operations. While we have the right to terminate our agreements with AHS store partners if they breach any material provisions of these agreements, we may not be able to identify problems and take action in a timely manner. As a result, our image and reputation may suffer, and our results of operations could be adversely affected.</w:t>
      </w:r>
    </w:p>
    <w:p>
      <w:pPr>
        <w:spacing w:after="0" w:line="290"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b w:val="1"/>
          <w:bCs w:val="1"/>
          <w:i w:val="1"/>
          <w:iCs w:val="1"/>
          <w:color w:val="auto"/>
        </w:rPr>
        <w:t>The successful operations of our PJT Marketplace and Paipai Marketplace depend on our ability to maintain and attract more third-party merchants and consumers to our online marketplaces.</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Third-party merchants and consumers play an important role in the successful operations of our online marketplaces. In terms of GMV, 61.2% and 60.9% of the pre-owned consumer products on our PJT Marketplace, and 93.0% and 88.4% of the pre-owned consumer products on our Paipai Marketplace, were sold by third-party merchants in 2020 and the three months ended March 31, 2021, respectively. As a result, attracting and maintaining our relationship with consumers and third-party merchants to our online marketplaces are critical to our business and results of operations. However, we may not be able to do so due to a number of factors, some of which are beyond our control. For example, if the transaction volume or the number of users on our marketplaces drop significantly, our third-party merchants may experience sales declines. As a result, they may not be able to generate profits as they expected, and thus choose not to renew their agreements with us. In addition, we may also be unable to continuously offer attractive terms or economic benefits to our third-party merchants or provide value-added services that meet the demand of third-party merchants. As a result, our third-party merchants may not be effectively motivated to sell more products or maintain the relationship with us. In addition, we may not be able to attract or maintain our existing customer base on our online marketplaces, which could result in a decline in the transaction volumes and thus negatively affect our business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various risks in connection with our cooperation with third-party merchants.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Even if we are able to maintain our relationship with third-party merchants and attract more third-party merchants and consumers to our online marketplaces, we are subject to various risks in connection with third-party merchants. We do not have as much control over the quality of pre-owned products sold by third-party merchants on our online marketplaces as we do over the products that we sell directly ourselves. In particular, under POP model, we do not inspect pre-owned consumer electronics sold by them on our platform, nor do we determine the prices of those products, which makes it more difficult for us to ensure that consumers and third-party merchants get the same high-quality products and services for all products sold on our marketplaces. If any third-party merchant fails to adhere to our quality standards and requirements, fails to timely deliver the products to buyers, delivers products that are defective or materially different from description, sells counterfeit or unlicensed products, or sells products without licenses or permits as required by the relevant laws and regulations even though we have requested such licenses or permits in our standard form contract with</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the third-party merchant, the reputation of our online marketplaces and our brands could be materially and adversely affected and we could face claims to hold us liable for the losses. Moreover, despite our efforts to prevent it, some products sold on our online marketplaces may compete with the products we sell directly, which may cannibalize our sales on our online marketplaces. The occurrence of any of the above could have a material and adverse effect on our expansion plans, business prospects, results of operations and financial condition.</w:t>
      </w:r>
    </w:p>
    <w:p>
      <w:pPr>
        <w:spacing w:after="0" w:line="288"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b w:val="1"/>
          <w:bCs w:val="1"/>
          <w:i w:val="1"/>
          <w:iCs w:val="1"/>
          <w:color w:val="auto"/>
        </w:rPr>
        <w:t>Privacy concerns relating to pre-owned consumer electronics and the collection, store and use of customer information could deter current and potential customers from choosing our products or services, damage our reputation, impede our business growth and thus negatively impact our business.</w:t>
      </w:r>
    </w:p>
    <w:p>
      <w:pPr>
        <w:spacing w:after="0" w:line="8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Concerns about mishandling personal information or other private and sensitive information stored in pre-owned consumer electronics, even if unfounded, or a general lack of confidence in the security of privacy in connection with pre-owned consumer electronics could deter current and potential consumers or third-party merchants from using our services, damage our reputation, cause us to lose consumers or third-party merchants and adversely affect our operating results. In addition, we collect, store and use personal information of our consumers or third-party merchants to provide better services. While we strive to comply with applicable data protection laws and regulations, as well as our own privacy policies and other obligations we may have with respect to privacy and data protection, failure or perceived failure to comply may result, and in some cases has resulted, in customer complaints, and may also result in inquiries and other proceedings or actions against us by government agencies or others, as well as negative publicity and damage to our reputation and brand, each of which could cause us to lose users, consumers or third-party merchants, and have an adverse effect on our business. In addition, any systems failure or compromise of our security that results in the unauthorized access to or release of our customers’ data could significantly limit the adoption of our products and services, as well as harm our reputation and brand and, therefore, our business. We strictly limit third-parties’ access to customer privacy data, and we expend significant resources on technology and our daily operations to protect against leakage of customer information and other security breaches. Nonetheless, given its great commercial value, customer data may still be hacked and misused by third parties, which could expose us to legal and regulatory risks and seriously harm our business.</w:t>
      </w:r>
    </w:p>
    <w:p>
      <w:pPr>
        <w:spacing w:after="0" w:line="213"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 xml:space="preserve">The PRC regulatory and enforcement regime with regard to data security and data protection is evolving. In particular, on May 28, 2020, the National People’s Congress of the PRC enacted the </w:t>
      </w:r>
      <w:r>
        <w:rPr>
          <w:rFonts w:ascii="Arial" w:cs="Arial" w:eastAsia="Arial" w:hAnsi="Arial"/>
          <w:sz w:val="18"/>
          <w:szCs w:val="18"/>
          <w:i w:val="1"/>
          <w:iCs w:val="1"/>
          <w:color w:val="auto"/>
        </w:rPr>
        <w:t>Civil Code of the People’s Republic of China</w:t>
      </w:r>
      <w:r>
        <w:rPr>
          <w:rFonts w:ascii="Arial" w:cs="Arial" w:eastAsia="Arial" w:hAnsi="Arial"/>
          <w:sz w:val="18"/>
          <w:szCs w:val="18"/>
          <w:color w:val="auto"/>
        </w:rPr>
        <w:t xml:space="preserve">, or Civil Code, which came into effect on January 1, 2021. The Civil Code, in addition to the systematic codification of provisions from existing legislations, establishes general principles of privacy right and the protection of personal information, and provides clearer legal basis for civil actions against privacy and personal information related infringements and breaches. Other than Civil Code, more specific provisions in relation to data privacy and cybersecurity are mainly set out in existing legislations including the </w:t>
      </w:r>
      <w:r>
        <w:rPr>
          <w:rFonts w:ascii="Arial" w:cs="Arial" w:eastAsia="Arial" w:hAnsi="Arial"/>
          <w:sz w:val="18"/>
          <w:szCs w:val="18"/>
          <w:i w:val="1"/>
          <w:iCs w:val="1"/>
          <w:color w:val="auto"/>
        </w:rPr>
        <w:t>PRC Cyber Security Law</w:t>
      </w:r>
      <w:r>
        <w:rPr>
          <w:rFonts w:ascii="Arial" w:cs="Arial" w:eastAsia="Arial" w:hAnsi="Arial"/>
          <w:sz w:val="18"/>
          <w:szCs w:val="18"/>
          <w:color w:val="auto"/>
        </w:rPr>
        <w:t xml:space="preserve"> (effective from June 1, 2017), the </w:t>
      </w:r>
      <w:r>
        <w:rPr>
          <w:rFonts w:ascii="Arial" w:cs="Arial" w:eastAsia="Arial" w:hAnsi="Arial"/>
          <w:sz w:val="18"/>
          <w:szCs w:val="18"/>
          <w:i w:val="1"/>
          <w:iCs w:val="1"/>
          <w:color w:val="auto"/>
        </w:rPr>
        <w:t>PRC E-commerce Law</w:t>
      </w:r>
      <w:r>
        <w:rPr>
          <w:rFonts w:ascii="Arial" w:cs="Arial" w:eastAsia="Arial" w:hAnsi="Arial"/>
          <w:sz w:val="18"/>
          <w:szCs w:val="18"/>
          <w:color w:val="auto"/>
        </w:rPr>
        <w:t xml:space="preserve"> (effective from January 1, 2019), and the </w:t>
      </w:r>
      <w:r>
        <w:rPr>
          <w:rFonts w:ascii="Arial" w:cs="Arial" w:eastAsia="Arial" w:hAnsi="Arial"/>
          <w:sz w:val="18"/>
          <w:szCs w:val="18"/>
          <w:i w:val="1"/>
          <w:iCs w:val="1"/>
          <w:color w:val="auto"/>
        </w:rPr>
        <w:t>PRC Consumer Rights Protection Law</w:t>
      </w:r>
      <w:r>
        <w:rPr>
          <w:rFonts w:ascii="Arial" w:cs="Arial" w:eastAsia="Arial" w:hAnsi="Arial"/>
          <w:sz w:val="18"/>
          <w:szCs w:val="18"/>
          <w:color w:val="auto"/>
        </w:rPr>
        <w:t xml:space="preserve"> (latest revision effective from March 15, 2014). Further, the Standing Committee of the National People’s Congress of the PRC has published the draft PRC Data Security Law on July 3, 2020, and the draft PRC Personal Information Protection Law on October 21, 2020. Once enacted, these two laws, together with the current legislations, will form an increasingly comprehensive legal framework in the area of data security and data protection in the PRC. See “Regulation—Regulations Relating to Internet Security and Privacy” for more details. Information and data privacy legislations have also been evolving significantly in other jurisdictions these years. For example, in the European Union, or EU, the General Data Protection Regulation, or GDPR, which came into effect on May 25, 2018, presents increased challenges and risks in relation to policies and procedures relating to data collection, storage, transfer, disclosure, protection and privacy, and will impose significant penalties for</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non-compliance, including for example, penalties calculated as a percentage of global revenue under the GDPR. In the United States, various federal, state and foreign legislative and regulatory bodies, or self-regulatory organizations, may expand current laws or regulations, enact new laws or regulations or issue revised rules or guidance regarding privacy, data protection, information security. For example, California recently enacted the California Consumer Privacy Act, which, among other things, requires new disclosures to California consumers and afford such consumers new abilities to opt out of certain sales of personal information. Outside of the European Union and the U.S., many countries and territories have laws, regulations, or other requirements relating to privacy, data protection, information security, and consumer protection, and new countries and territories are adopting such legislation or other obligations with increasing frequency. New laws or regulations concerning data protection, or the interpretation and application of existing consumer and data protection laws or regulations, which is often uncertain and in flux, may be inconsistent with our practices. If so, in addition to the possibility of fines, this could result in an order requiring that we change our practices, which could have an adverse effect on our business and operating results. Complying with new laws and regulations could cause us to incur substantial costs or require us to change our business practices in a manner materially adverse to our business. If we or those with whom we share information fail to comply with these laws and regulations or experience a data security breach, our reputation could be damaged and we could be subject to additional litigation and regulatory risks.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expansion into new product categories and offering of new services may expose us to new challenges and more risks.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As of March 31, 2021, approximately 81.5% and 52.7% of the pre-owned consumer products traded on our PJT Marketplace and Paipai Marketplace, respectively, were cell phones. In recent years, we have expanded our business to cover more types of pre-owned consumer electronics, such as laptops, tablets and drones. In the future, we may expand our business to cover more diversified pre-owned product categories, such as bags and various household goods, and provide new services, such as launching our premium paid membership program and offline boutique retail stores, to further attract consumers and third-party merchants and increase the transaction volumes on our platform. Expansion into diverse new product categories and service offerings involves new risks and challenges. Our lack of familiarity with these products and services and lack of relevant customer data relating to these products and services may make it more difficult for us to anticipate customer demand and preferences. We may also be unable to effectively inspect and control the quality of these pre-owned goods appropriately or we may misjudge customer demand on our new service offerings. We may also face costly product liability claims, which would harm our brand and reputation as well as our financial performance. If competition in the new product and service categories intensifies, we may have to price aggressively and invest heavily to gain market share or remain competitive, which may adversely affect our profitability. As a result of various uncertainties and risks, it may be difficult for us to achieve profitability in the new product and service categories and our profit margin in these categories, if any, may be lower than we anticipate, which would adversely affect our overall profitability and results of operations. We cannot assure you that we will be able to recoup our investments in introducing these new product and service categories.</w:t>
      </w:r>
    </w:p>
    <w:p>
      <w:pPr>
        <w:spacing w:after="0" w:line="299"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We may incur liability or become subject to claims or administrative penalties for stolen products sold on our platform or counterfeit, infringing, illegal or unauthorized products sold on our platform.</w:t>
      </w:r>
    </w:p>
    <w:p>
      <w:pPr>
        <w:spacing w:after="0" w:line="68"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Pre-owned consumer electronics sold on our online marketplaces are sourced by us or third-party merchants from various channels. We have adopted measures to verify the authenticity and authorization of pre-owned consumer electronics sold on our online marketplaces and avoid potential infringement of third-party intellectual property rights in the course of sourcing and selling products. We have also invested heavily in our inspection and authentication processes and we reject items we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believe to be counterfeit. However, we cannot assure you that we are able to identify any and all unauthorized, counterfeit or illegal products, especially components and parts or accessories of the pre-owned consumer electronics, that infringe third parties’ intellectual property rights given the large amount of pre-owned consumer electronics being inspected. As the sophistication of counterfeiters increases, it may be increasingly difficult to identify counterfeit pre-owned consumer electronics and their components, parts and accessories. In terms of GMV, in 2020 and the three months ended March 31, 2021, 32.7% and 30.4% of the pre-owned consumer products sold on our PJT Marketplace, and 93.0% and 79.3% of the pre-owned consumer products on our Paipai Marketplace, were inspected by third-party merchants as opposed to going through our inspection procedures, respectively. Under our standard form agreements, we typically require third-party merchants to indemnify us for any losses we suffer or any costs that we incur if the pre-owned consumer electronics they sell on our online marketplaces are stolen products or counterfeit, unauthorized or refurbished products. However, we may not be able to successfully enforce our contractual rights and may need to initiate costly and lengthy legal proceedings in China to protect our rights. In the event that counterfeit, unauthorized or infringing products are sold on our online marketplaces or infringing content is posted on our online marketplaces, we could face claims that may subject us to liabilities. If we fail to identify any infringing pre-owned consumer electronics including components and parts or accessories and such products are sold to purchasers, we may be subject to infringement claims and our reputation will also be harmed. Irrespective of the validity of such claims, we could incur significant costs and efforts in either defending against or settling such claims. If there is a successful claim against us, we might be required to pay substantial damages or refrain from further selling the relevant products. Potential liabilities we may be subject to under PRC law if we negligently participated or assisted in infringement activities associated with counterfeit products include injunctions to cease infringing activities, rectification, compensation, administrative penalties and even criminal liability. Moreover, such third-party claims or administrative penalties could result in negative publicity and our reputation could be severely damaged.</w:t>
      </w:r>
    </w:p>
    <w:p>
      <w:pPr>
        <w:spacing w:after="0" w:line="21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stolen products were and may continue to be sold on our online marketplaces, which could also result in negative publicity, and thus damage our reputation. Pursuant to relevant PRC regulations, we, as the operator of AHS Recycle, are required to record information of each pre-owned consumer electronic product sourced by us and we would be subject to administrative penalties or even criminal liability if we knowingly engage in any sale of stolen pre-owned consumer electronic product that we sourced from other parties. We have been complying with the above information recording requirement and we have also been cooperating with the Shanghai Public Security Bureau to crackdown the sales of stolen products on our online marketplaces. However, third-party sellers’ actions are beyond our control and we cannot guarantee you that our online marketplaces will not be used as a channel by certain sellers to dispose of illegal products. Any of these events could have a material and adverse effect on our business, results of operations or financial condition.</w:t>
      </w:r>
    </w:p>
    <w:p>
      <w:pPr>
        <w:spacing w:after="0" w:line="29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If we fail to adopt new technologies or adapt our websites, mobile apps and systems to changing user or customer requirements or emerging industry standards, or if our efforts to invest in the development of new technologies are unsuccessful or ineffective, our business may be materially and adversely affected.</w:t>
      </w:r>
    </w:p>
    <w:p>
      <w:pPr>
        <w:spacing w:after="0" w:line="83"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To remain competitive, we must continue to enhance and improve the responsiveness, functionality and features of our mobile apps, websites and our business operation systems. The industries we operate in are characterized by rapid technological evolution, changes in user or customer requirements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such as mobile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internet, in a cost-effective and timely way. For example, we depend on the automation of our operation centers and the development and application of advanced technologies applied in our operation centers to effectively and efficiently inspect, grade and price the pre-owned consumer electronics we procure. In recent years, we invested in the development of many new technologies, such as supply sourcing technology and inspection, certification and pricing technology. The development of websites, mobile apps and other proprietary technologies entails significant technical and business risks. We cannot assure you that we will be able to successfully develop or effectively use new technologies, recoup the costs of developing new technologies or adapt our websites, mobile apps, proprietary technologies and systems to meet user or customer requirements or emerging industry standards. If we are unable to develop technologies successfully or adapt in a cost-effective and timely manner in response to changing market conditions or customer requirements, whether for technical, legal, financial or other reasons, our business, prospects, financial condition and results of operations may be materially and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sustain our historical growth rates in the future.</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experienced rapid growth since we commenced our business in 2011. However, there is no assurance that we will be able to maintain our historical growth rates in future periods. Our revenue growth may slow or our revenues may decline for any number of possible reasons, such as decreased consumer spending, increased competition, slowdown in the growth or contraction of the pre-owned consumer electronics transactions and services industry in China, emergence of alternative business models, changes in government policies or general economic conditions, and natural disasters or virus outbreaks. If our growth rate declines, investors’ perceptions of our business and business prospects may be adversely affected and the market price of our ADSs could decline.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harm to our brands or reputation may materially and adversely affect our business and results of operations.</w:t>
      </w:r>
    </w:p>
    <w:p>
      <w:pPr>
        <w:spacing w:after="0" w:line="126" w:lineRule="exact"/>
        <w:rPr>
          <w:sz w:val="20"/>
          <w:szCs w:val="20"/>
          <w:color w:val="auto"/>
        </w:rPr>
      </w:pPr>
    </w:p>
    <w:p>
      <w:pPr>
        <w:ind w:left="120" w:right="60" w:firstLine="551"/>
        <w:spacing w:after="0" w:line="224" w:lineRule="exact"/>
        <w:rPr>
          <w:sz w:val="20"/>
          <w:szCs w:val="20"/>
          <w:color w:val="auto"/>
        </w:rPr>
      </w:pPr>
      <w:r>
        <w:rPr>
          <w:rFonts w:ascii="Arial" w:cs="Arial" w:eastAsia="Arial" w:hAnsi="Arial"/>
          <w:sz w:val="17"/>
          <w:szCs w:val="17"/>
          <w:color w:val="auto"/>
        </w:rPr>
        <w:t>We believe that the recognition and reputation of our brands, such as All Things Renew (</w:t>
      </w:r>
      <w:r>
        <w:rPr>
          <w:rFonts w:ascii="SimSun" w:cs="SimSun" w:eastAsia="SimSun" w:hAnsi="SimSun"/>
          <w:sz w:val="15"/>
          <w:szCs w:val="15"/>
          <w:color w:val="auto"/>
        </w:rPr>
        <w:t>万物新生</w:t>
      </w:r>
      <w:r>
        <w:rPr>
          <w:rFonts w:ascii="Arial" w:cs="Arial" w:eastAsia="Arial" w:hAnsi="Arial"/>
          <w:sz w:val="17"/>
          <w:szCs w:val="17"/>
          <w:color w:val="auto"/>
        </w:rPr>
        <w:t>), or ATRenew, AHS (</w:t>
      </w:r>
      <w:r>
        <w:rPr>
          <w:rFonts w:ascii="SimSun" w:cs="SimSun" w:eastAsia="SimSun" w:hAnsi="SimSun"/>
          <w:sz w:val="15"/>
          <w:szCs w:val="15"/>
          <w:color w:val="auto"/>
        </w:rPr>
        <w:t>爱回收</w:t>
      </w:r>
      <w:r>
        <w:rPr>
          <w:rFonts w:ascii="Arial" w:cs="Arial" w:eastAsia="Arial" w:hAnsi="Arial"/>
          <w:sz w:val="17"/>
          <w:szCs w:val="17"/>
          <w:color w:val="auto"/>
        </w:rPr>
        <w:t>), PJT (</w:t>
      </w:r>
      <w:r>
        <w:rPr>
          <w:rFonts w:ascii="SimSun" w:cs="SimSun" w:eastAsia="SimSun" w:hAnsi="SimSun"/>
          <w:sz w:val="15"/>
          <w:szCs w:val="15"/>
          <w:color w:val="auto"/>
        </w:rPr>
        <w:t>拍机堂</w:t>
      </w:r>
      <w:r>
        <w:rPr>
          <w:rFonts w:ascii="Arial" w:cs="Arial" w:eastAsia="Arial" w:hAnsi="Arial"/>
          <w:sz w:val="17"/>
          <w:szCs w:val="17"/>
          <w:color w:val="auto"/>
        </w:rPr>
        <w:t>) and Paipai (</w:t>
      </w:r>
      <w:r>
        <w:rPr>
          <w:rFonts w:ascii="SimSun" w:cs="SimSun" w:eastAsia="SimSun" w:hAnsi="SimSun"/>
          <w:sz w:val="15"/>
          <w:szCs w:val="15"/>
          <w:color w:val="auto"/>
        </w:rPr>
        <w:t>拍拍</w:t>
      </w:r>
      <w:r>
        <w:rPr>
          <w:rFonts w:ascii="Arial" w:cs="Arial" w:eastAsia="Arial" w:hAnsi="Arial"/>
          <w:sz w:val="17"/>
          <w:szCs w:val="17"/>
          <w:color w:val="auto"/>
        </w:rPr>
        <w:t>), among consumers and third-party merchants have contributed significantly to the growth and success of our</w:t>
      </w:r>
    </w:p>
    <w:p>
      <w:pPr>
        <w:spacing w:after="0" w:line="13" w:lineRule="exact"/>
        <w:rPr>
          <w:sz w:val="20"/>
          <w:szCs w:val="20"/>
          <w:color w:val="auto"/>
        </w:rPr>
      </w:pPr>
    </w:p>
    <w:p>
      <w:pPr>
        <w:jc w:val="both"/>
        <w:ind w:left="120" w:right="100"/>
        <w:spacing w:after="0" w:line="274" w:lineRule="auto"/>
        <w:rPr>
          <w:sz w:val="20"/>
          <w:szCs w:val="20"/>
          <w:color w:val="auto"/>
        </w:rPr>
      </w:pPr>
      <w:r>
        <w:rPr>
          <w:rFonts w:ascii="Arial" w:cs="Arial" w:eastAsia="Arial" w:hAnsi="Arial"/>
          <w:sz w:val="17"/>
          <w:szCs w:val="17"/>
          <w:color w:val="auto"/>
        </w:rPr>
        <w:t>business. Maintaining and enhancing the recognition and reputation of our brands are critical to our business and competitiveness. Many factors, some of which are beyond our control, are important to maintaining and enhancing our brand. These factors include our ability to:</w:t>
      </w:r>
    </w:p>
    <w:p>
      <w:pPr>
        <w:spacing w:after="0" w:line="80"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a superior experience to consumers and third-party merchants, and enhance their trust in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the popularity, attractiveness, diversity and quality of the products and services we offer;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the reliability of our inspection, grading and pricing process;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offer competitive prices for pre-owned consumer electronics/goods;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or improve the satisfaction of consumers and third-party merchants with our after-sales services;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support third-party merchants to provide satisfactory customer experience through our online marketplaces;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brand awareness through marketing and brand promotion activities; and</w:t>
      </w:r>
    </w:p>
    <w:p>
      <w:pPr>
        <w:spacing w:after="0" w:line="117" w:lineRule="exact"/>
        <w:rPr>
          <w:rFonts w:ascii="Arial" w:cs="Arial" w:eastAsia="Arial" w:hAnsi="Arial"/>
          <w:sz w:val="18"/>
          <w:szCs w:val="18"/>
          <w:color w:val="auto"/>
        </w:rPr>
      </w:pPr>
    </w:p>
    <w:p>
      <w:pPr>
        <w:ind w:left="880" w:right="34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preserve our reputation and goodwill in the event of any negative publicity, including those on customer service, customer relationships, product quality, or other issues affecting us or other pre-owned consumer electronics transactions and services businesses.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have received in the past, and we may continue to receive in the future, communications or complaints alleging that pre-owned consumer electronics sold through our platform are counterfeit, defective, inconsistent with the information provided on our platform, or the services provided by us are unsatisfactory to our consumers and third-party merchants. The information we include on our platform is collected and maintained by us, which may not be accurate or complete due to human error, technological issues or willful misconduct. Moreover, if third-party merchants experience difficulties in meeting our requirements or standards or provide inaccurate or unreliable information to us, we may be subject to legal liabilities for the actions or services of those third-party merchants and we may fail to maintain customer trust in our platform, which could damage our reputation, diminish the value of our brand, undermine the trust and credibility we have established and have a negative impact on our ability to attract new consumers and third-party merchants or retain our current consumers and third-party merchants. If we are unable to maintain our reputation, enhance our brand recognition or increase positive awareness of our platform and services, as well as pre-owned consumer electronics sold by us and third-party merchants through our online marketplaces, our business, growth prospects, financial condition and results of the operations could be materially and adversely affected.</w:t>
      </w:r>
    </w:p>
    <w:p>
      <w:pPr>
        <w:spacing w:after="0" w:line="20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addition, negative news or media coverage of our business, our employees, our third-party service providers and business partners, our directors and management or our shareholders, including, without limitation, alleged failure to comply with applicable laws and regulations, alleged misrepresentation by our sales consultants or third-party agents, breach of data security, failure to protect user privacy, inappropriate business practices, disclosure of inaccurate operating data, negative information on blogs and social media websites, regardless of their validity, could damage our reputation. If we fail to correct or mitigate misinformation or negative information about us, including information spread through social media or traditional media channels, customer trust in us may be undermined, which would have a material adverse effect on our business, results of operations and financial condition.</w:t>
      </w:r>
    </w:p>
    <w:p>
      <w:pPr>
        <w:spacing w:after="0" w:line="289"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b w:val="1"/>
          <w:bCs w:val="1"/>
          <w:i w:val="1"/>
          <w:iCs w:val="1"/>
          <w:color w:val="auto"/>
        </w:rPr>
        <w:t>If we fail to compete effectively, we may not be able to maintain or may lose market share and our business and results of operations would be materially and adversely affected.</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face intense competition in the pre-owned consumer electronics transactions and services industry in China. We compete for consumers, third-party merchants, orders, and pre-owned consumer electronics. See “Business—Competition.” Our competitors may have significantly more resources than we do, including financial, technological, marketing resources, and may be able to devote greater resources to the development and promotion of their platforms and services. They may also have deeper relationships with consumer electronics manufacturers, online marketplaces selling consumer electronics and other third-party service providers than we do. This could allow them to develop new services, adapt more quickly to changes in technology and to undertake more extensive marketing campaigns, which may render our platform less attractive to consumers and businesses and cause us to lose market share. Those smaller companies or new entrants may be acquired by, receive investment from or enter into strategic relationships with well-established and well-financed companies or investors which would help enhance their competitive positions. Moreover, intense competition in the markets we operate in may reduce our service fees and revenue, increase our operating expenses and capital expenditures, and lead to departures of our qualified employees. In addition, new and enhanced technologies may increase the competition in the pre-owned consumer electronics transactions and services industry. New competitive business models may also appear to increase the competition. We may also be harmed by negative publicity instigated by our competitors, regardless of its validity. We have encountered and may in the future continue to encounter unfair competition from our competitors, which may adversely affect our business and reputation. Failure to compete with current and potential competitors could materially harm our business, financial condition and our results of operations.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Misconduct or illegal actions of our third-party merchants or other business partners could materially and adversely affect our reputation, business, financial condition and results of operations.</w:t>
      </w:r>
    </w:p>
    <w:p>
      <w:pPr>
        <w:spacing w:after="0" w:line="68"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We work with third parties in providing many of our services and products on our platform, such as consumer electronics brands and e-commerce platform through which we collect pre-owned consumer electronics, third-party merchants doing transactions on our platform, and third-party logistics service providers. We carefully select our third-party suppliers, merchants, service providers and business partners, but we are not able to fully control their actions. If these third parties fail to perform as we expect, experience difficulty in meeting our requirements or standards, fail to conduct their business ethically, fail to provide satisfactory services to consumers and third-party merchants, receive negative press coverage, violate applicable laws or regulations, breach the agreements with us, or if the agreements we have entered into with the third parties are terminated or not renewed, it could damage our business and reputation. In addition, if such third-party service providers cease operations, temporarily or permanently, face financial distress or other business disruptions, increase their fees, or if our relationships with them deteriorate, we would suffer from increased costs, be involved in legal or administrative proceedings with or against our third-party service providers and experience delays in providing consumers and third-party merchants with similar services until we find or develop a suitable alternative. Furthermore, if we are unsuccessful in identifying high-quality partners, or establishing cost-effective relationships with them, or effectively managing these relationships, our business and results of operations would be materially and adversely affected.</w:t>
      </w:r>
    </w:p>
    <w:p>
      <w:pPr>
        <w:spacing w:after="0" w:line="289"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We may be held liable for information or content displayed on or linked to our platform, which may materially and adversely affect our reputation, business and results of operations.</w:t>
      </w:r>
    </w:p>
    <w:p>
      <w:pPr>
        <w:spacing w:after="0" w:line="68"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We may be held liable for inaccurate or incomplete information, including pre-owned product listings, that is available through or linked to our platform. The information we collect and use for pre-owned product listings may be inaccurate or incomplete due to errors or on the part of our employees or third-party information providers, or frauds. Failure to ensure the accuracy and integrity of such information, regardless of its source, could undermine customer trust, result in further administrative penalties and adversely affect our reputation, business and results of operations.</w:t>
      </w:r>
    </w:p>
    <w:p>
      <w:pPr>
        <w:spacing w:after="0" w:line="288"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Failure to effectively deal with any misappropriation of our business opportunities, fictitious transactions or other fraudulent conduct would materially and adversely affect our business, financial condition and results of operations.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may face risks with respect to fraudulent activities by our employees or third-party merchants. For example, we have previously identified certain employees’ misappropriation of our business opportunities at offline AHS stores. These employees purchased pre-owned consumer electronics themselves from consumers visiting AHS stores as opposed to performing their duties to complete the transactions with consumers on behalf of us. In order to combat such fraudulent activities, we installed surveillance system in AHS stores so that we are able to verify each transaction. In addition to misappropriation of our business opportunities, sellers on our marketplaces may also engage in fictitious or “phantom” transactions with themselves or collaborators in order to artificially inflate their own ratings on our online marketplace, reputation and search results rankings. This activity may harm other sellers by enabling the perpetrating seller to be favored over legitimate sellers, and may harm consumers by deceiving them into believing that a seller is more reliable or trusted than the seller actually is. This activity may also result in inflated transaction volume from our online marketplace. Sellers on our platform may also engage in other fraudulent or illegal activities. For example, a seller on our platform engaged in illegal credit card encashment activities in the past. Although we have implemented various measures to detect and reduce the occurrence of fraudulent activities on our platform, there can be no assurance that such measures will be effective in combating fraudulent</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activities. Moreover, illegal, fraudulent or collusive activities by our employees, such as fraud, bribery or corruption, could also subject us to liability or negative publicity or cause losses. For example, we incurred economic loss in the past due to a former employee’s fraudulent behavior in a procurement transaction. Although we have internal controls and policies with regard to the review and approval of sales activities and other relevant matters, our employees’ actions are beyond our control. We cannot assure you that our internal control measures and policies will prevent fraud or illegal activity by our employees. Negative publicity and user sentiment generated as a result of actual or alleged fraudulent or deceptive conduct on our platform or by our employees could also severely diminish consumer confidence in us, reduce our ability to attract new or retain current consumers and third-party merchants, damage our reputation and diminish the value of our brand names, and materially and adversely affect our business, financial condition and results of operations.</w:t>
      </w:r>
    </w:p>
    <w:p>
      <w:pPr>
        <w:spacing w:after="0" w:line="294" w:lineRule="exact"/>
        <w:rPr>
          <w:sz w:val="20"/>
          <w:szCs w:val="20"/>
          <w:color w:val="auto"/>
        </w:rPr>
      </w:pPr>
    </w:p>
    <w:p>
      <w:pPr>
        <w:ind w:left="120" w:right="940"/>
        <w:spacing w:after="0" w:line="271" w:lineRule="auto"/>
        <w:rPr>
          <w:sz w:val="20"/>
          <w:szCs w:val="20"/>
          <w:color w:val="auto"/>
        </w:rPr>
      </w:pPr>
      <w:r>
        <w:rPr>
          <w:rFonts w:ascii="Arial" w:cs="Arial" w:eastAsia="Arial" w:hAnsi="Arial"/>
          <w:sz w:val="18"/>
          <w:szCs w:val="18"/>
          <w:b w:val="1"/>
          <w:bCs w:val="1"/>
          <w:i w:val="1"/>
          <w:iCs w:val="1"/>
          <w:color w:val="auto"/>
        </w:rPr>
        <w:t>We may not be able to successfully halt the operations of websites that aggregate our data as well as data from other companies, or “copycat” websites that misappropriate our data.</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Due to the lack of widely accepted industry standards and practices and as a result of our industry leading position, we have seen certain websites aggregate certain data we generated in our business operations, such as pricing information for pre-owned consumer electronics. As of the date of this prospectus, we are not aware of any copycat websites that attempt to cause confusion or diversion of traffic from us. Since we have a large customer base and established the largest pre-owned consumer electronics transactions and services platform in China, we may become an attractive target to such attacks or misappropriations in the future because of our brand recognition in the pre-owned consumer electronics transactions and services industry in China. We cannot assure you that we will be able to successfully halt the operations of these websites or third parties. Failure to do so could damage our reputation, divert customer traffic or supply of pre-owned consumer electronics from us and thus maternally and negatively affect our business operations, results of operations and financial condition.</w:t>
      </w:r>
    </w:p>
    <w:p>
      <w:pPr>
        <w:spacing w:after="0" w:line="29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We rely on third-party payment service providers to conduct payment processing and escrow services on our marketplaces. If those services are limited, restricted, curtailed or degraded in any way or become unavailable to us or our users for any reason, our business may be materially and adversely affected.</w:t>
      </w:r>
    </w:p>
    <w:p>
      <w:pPr>
        <w:spacing w:after="0" w:line="83" w:lineRule="exact"/>
        <w:rPr>
          <w:sz w:val="20"/>
          <w:szCs w:val="20"/>
          <w:color w:val="auto"/>
        </w:rPr>
      </w:pPr>
    </w:p>
    <w:p>
      <w:pPr>
        <w:ind w:left="120" w:right="180" w:firstLine="551"/>
        <w:spacing w:after="0" w:line="210" w:lineRule="exact"/>
        <w:rPr>
          <w:sz w:val="20"/>
          <w:szCs w:val="20"/>
          <w:color w:val="auto"/>
        </w:rPr>
      </w:pPr>
      <w:r>
        <w:rPr>
          <w:rFonts w:ascii="Arial" w:cs="Arial" w:eastAsia="Arial" w:hAnsi="Arial"/>
          <w:sz w:val="18"/>
          <w:szCs w:val="18"/>
          <w:color w:val="auto"/>
        </w:rPr>
        <w:t>Our users make payments through a variety of methods, including payment on our marketplaces or through our third-party online payment service partners, such as Weixin and Fuiou Pay (</w:t>
      </w:r>
      <w:r>
        <w:rPr>
          <w:rFonts w:ascii="SimSun" w:cs="SimSun" w:eastAsia="SimSun" w:hAnsi="SimSun"/>
          <w:sz w:val="16"/>
          <w:szCs w:val="16"/>
          <w:color w:val="auto"/>
        </w:rPr>
        <w:t>富友支付</w:t>
      </w:r>
      <w:r>
        <w:rPr>
          <w:rFonts w:ascii="Arial" w:cs="Arial" w:eastAsia="Arial" w:hAnsi="Arial"/>
          <w:sz w:val="18"/>
          <w:szCs w:val="18"/>
          <w:color w:val="auto"/>
        </w:rPr>
        <w:t>). These services are critical to our platform. We rely on the</w:t>
      </w:r>
    </w:p>
    <w:p>
      <w:pPr>
        <w:spacing w:after="0" w:line="13" w:lineRule="exact"/>
        <w:rPr>
          <w:sz w:val="20"/>
          <w:szCs w:val="20"/>
          <w:color w:val="auto"/>
        </w:rPr>
      </w:pPr>
    </w:p>
    <w:p>
      <w:pPr>
        <w:jc w:val="both"/>
        <w:ind w:left="120" w:right="200"/>
        <w:spacing w:after="0" w:line="274" w:lineRule="auto"/>
        <w:rPr>
          <w:sz w:val="20"/>
          <w:szCs w:val="20"/>
          <w:color w:val="auto"/>
        </w:rPr>
      </w:pPr>
      <w:r>
        <w:rPr>
          <w:rFonts w:ascii="Arial" w:cs="Arial" w:eastAsia="Arial" w:hAnsi="Arial"/>
          <w:sz w:val="17"/>
          <w:szCs w:val="17"/>
          <w:color w:val="auto"/>
        </w:rPr>
        <w:t>convenience and ease of use that these service providers provide to our users. If the quality, utility, convenience or attractiveness of the services of these service providers decline for any reason, the attractiveness of our platform could be materially and adversely affected.</w:t>
      </w:r>
    </w:p>
    <w:p>
      <w:pPr>
        <w:spacing w:after="0" w:line="175"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Business involving online payment services is subject to a number of risks that could materially and adversely affect third-party online payment service providers’ ability to provide payment processing and escrow services to us, including:</w:t>
      </w:r>
    </w:p>
    <w:p>
      <w:pPr>
        <w:spacing w:after="0" w:line="102"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dissatisfaction with these online payment services or decreased use of their services by users and merchants;</w:t>
      </w:r>
    </w:p>
    <w:p>
      <w:pPr>
        <w:spacing w:after="0" w:line="117"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competition, including from other established Chinese internet companies, payment service providers and companies engaged in other financial technology services;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to rules or practices applicable to payment systems that link to third-party online payment service providers;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breach of users’ personal information and concerns over the use and security of information collected from buyers;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service outages, system failures or failures to effectively scale the system to handle large and growing transaction volumes;</w:t>
      </w:r>
    </w:p>
    <w:p>
      <w:pPr>
        <w:spacing w:after="0" w:line="117" w:lineRule="exact"/>
        <w:rPr>
          <w:rFonts w:ascii="Arial" w:cs="Arial" w:eastAsia="Arial" w:hAnsi="Arial"/>
          <w:sz w:val="18"/>
          <w:szCs w:val="18"/>
          <w:color w:val="auto"/>
        </w:rPr>
      </w:pPr>
    </w:p>
    <w:p>
      <w:pPr>
        <w:ind w:left="880" w:right="62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costs to third-party online payment service providers, including fees charged by banks to process transactions through online payment channels, which would also increase our costs of revenues; and</w:t>
      </w:r>
    </w:p>
    <w:p>
      <w:pPr>
        <w:spacing w:after="0" w:line="102" w:lineRule="exact"/>
        <w:rPr>
          <w:rFonts w:ascii="Arial" w:cs="Arial" w:eastAsia="Arial" w:hAnsi="Arial"/>
          <w:sz w:val="18"/>
          <w:szCs w:val="18"/>
          <w:color w:val="auto"/>
        </w:rPr>
      </w:pPr>
    </w:p>
    <w:p>
      <w:pPr>
        <w:ind w:left="880" w:right="58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manage funds accurately or loss of funds, whether due to employee fraud, security breaches, technical errors or otherwise.</w:t>
      </w:r>
    </w:p>
    <w:p>
      <w:pPr>
        <w:spacing w:after="0" w:line="197"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In addition, certain commercial banks in China impose limits on the amounts that may be transferred by automated payment from customers’ bank accounts to their linked accounts with third-party payment services. Although we believe the impact of these restrictions has not been and will not be significant in terms of the overall volume of payments processed on our platform, and automated payment services linked to bank accounts represent only one of many payment mechanisms that consumers may use to settle transactions, we cannot predict whether these and any additional restrictions that could be put in place would have a material adverse effect on our platform.</w:t>
      </w:r>
    </w:p>
    <w:p>
      <w:pPr>
        <w:spacing w:after="0" w:line="205" w:lineRule="exact"/>
        <w:rPr>
          <w:sz w:val="20"/>
          <w:szCs w:val="20"/>
          <w:color w:val="auto"/>
        </w:rPr>
      </w:pPr>
    </w:p>
    <w:p>
      <w:pPr>
        <w:jc w:val="both"/>
        <w:ind w:left="120" w:right="40" w:firstLine="551"/>
        <w:spacing w:after="0" w:line="238" w:lineRule="auto"/>
        <w:rPr>
          <w:sz w:val="20"/>
          <w:szCs w:val="20"/>
          <w:color w:val="auto"/>
        </w:rPr>
      </w:pPr>
      <w:r>
        <w:rPr>
          <w:rFonts w:ascii="Arial" w:cs="Arial" w:eastAsia="Arial" w:hAnsi="Arial"/>
          <w:sz w:val="18"/>
          <w:szCs w:val="18"/>
          <w:color w:val="auto"/>
        </w:rPr>
        <w:t>In addition, we cannot assure you that we will be successful to enter into and maintain amicable relationships with online payment service providers. Identifying, negotiating and maintaining relationships with these providers require significant time and resources. They could choose to terminate their relationships with us or propose terms that we cannot accept. In addition, these service providers may not perform as expected under our agreements with them, and we may have disagreements or disputes with such payment service providers, any of which could adversely affect our brand and reputation as well as our business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certain risks relating to third-party logistics services and our operation centers.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and third-party merchants on our marketplaces rely on third-party logistics service providers to deliver pre-owned consumer electronics to our operation centers and from our operation centers to buyers. Since the products being shipped generally are high-value goods, reliable services from third-party logistics service providers are of great importance to us. The efficient operation of our business also depends on the timely delivery of pre-owned consumer electronics. However, third-party service providers may not be able to consistently provide timely and proper delivery of pre-owned consumer electronics. In the past, we experienced product damage and product loss incidences and had disputes with certain logistics service providers. We may continue to experience similar incidents or disputes in the future. In addition, logistics services could also be suspended and thereby interrupt the supply of pre-owned consumer electronics if unforeseen events that are beyond our control occur, such as inclement weather, natural disasters, health epidemics, transportation disruptions or labor unrest. For example, the shipment and delivery of pre-owned consumer electronics were negatively affected by COVID-19. In addition, if our third-party logistics service providers fail to comply with applicable rules and regulations in China, the delivery of pre-owned consumer electronics could be materially and adversely affected. We may not be able to find reliable alternative third-party logistics companies to provide delivery services in a timely manner, or at all. Delivery of pre-owned consumer electronics could also be affected or interrupted by the merger, acquisition, insolvency or shut-down of the delivery companies we engage to make deliveries, especially those local companies with relatively small business scales. If pre-owned consumer electronics are not delivered in proper conditions or on a timely basis, buyers may refuse to accept products purchased on our platform and lose confidence in our platform, and our business and reputation could suffer. Furthermore, delivery personnel of contracted third-party logistics service providers act on our behalf and directly interact with consumers or third-party merchants. We need to effectively manage these third-party logistics service providers to ensure the quality of customer services. We have in the past received user complaints from time to</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time regarding our delivery and return and exchange services. Any failure to provide high-quality delivery services to consumers or third-party merchants may negatively impact their experience with us, damage our reputation and business operations.</w:t>
      </w:r>
    </w:p>
    <w:p>
      <w:pPr>
        <w:spacing w:after="0" w:line="197"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As of March 31, 2021, we had six regional operation centers across Mainland China and one regional operation center in Hong Kong. A vast majority of pre-owned consumer electronics sold on our marketplaces are first shipped to our operation centers in different locations for inspection, grading and pricing before they are sold to buyers. In addition, our operation centers serve as warehouses for pre-owned consumer electronics before they are delivered to buyers. If any business interruptions or accidents, including health pandemics and fires, were to occur, causing damage to pre-owned consumer electronics or our operation centers, our ability to provide services such as inspection, grading and pricing services could be materially and adversely affected and the shipment of pre-owned consumer electronics could be delayed. For example, during the COVID-19 pandemic in early 2020, we had to temporarily shut down our seven regional operation centers. These operation centers gradually resumed operations starting from February 10, 2020. As of April 1, 2020, all of our operation centers resumed normal operation. We cannot assure you that operation interruptions or service suspensions would not occur in the future. Any interruption or suspension of operation could have a material adverse effect on our market reputation,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product delivery, return, exchange and warranty policies may materially and adversely affect our results of operations.</w:t>
      </w:r>
    </w:p>
    <w:p>
      <w:pPr>
        <w:spacing w:after="0" w:line="126"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We have adopted shipping policies that do not necessarily pass the full cost of shipping on to consumers and third-party merchants. We also have adopted customer-friendly return and exchange policies that make it convenient and easy for consumers and third-party merchants to change their minds after completing purchases. In addition, pre-owned consumer electronics sold on our Paipai Selection flagship stores are also subject to a one-year warranty. We may also be required by law to adopt new or amend existing return and exchange or warranty policies from time to time. These policies improve customers’ experience with us and promote customer loyalty, which in turn help us acquire and retain consumers and third-party merchants. However, these policies also subject us to additional costs and expenses which we may not recoup through increased revenue. Our ability to handle a large volume of returns is unproven. If our return and exchange policy is misused by a significant number of consumers and third-party merchants, our costs may increase significantly and our results of operations may be materially and adversely affected. If we revise these policies to reduce our costs and expenses, consumers and third-party merchants may be dissatisfied, which may result in loss of existing consumers and third-party merchants or failure to acquire new consumers and third-party merchants at a desirable pace, which may materially and adversely affect our results of operations. In addition, any negative publicity related to the quality of pre-owned consumer electronics sold on our marketplaces, with or without merits, could damage our brand image, decrease customer demand, and thus materially and adversely affect our business, operating results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product liability claims.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pre-owned consumer electronics sold, either by third-party merchants or by us, on our online marketplaces may be defective. As a result, sales of such products could expose us to product liability claims relating to personal injury or property damage and may require product recalls or other actions. Third parties subject to such injury or damage may bring claims or legal proceedings against us as the seller of the product. Although we would have legal recourse against the manufacturer of such products under PRC law, attempting to enforce our rights against the manufacturer may be expensive, time-consuming and ultimately futile. In addition, we do not currently maintain any third-party liability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insurance or product liability insurance in relation to products we sell. As a result, any material product liability claim or litigation could have a material and adverse effect on our business, financial condition and results of operations. Even unsuccessful claims could result in the expenditure of funds and managerial efforts in defending them and could have a negative impact on our reputation.</w:t>
      </w:r>
    </w:p>
    <w:p>
      <w:pPr>
        <w:spacing w:after="0" w:line="289"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If we fail to manage our inventory effectively, our results of operations, financial condition and liquidity may be materially and adversely affected.</w:t>
      </w:r>
    </w:p>
    <w:p>
      <w:pPr>
        <w:spacing w:after="0" w:line="68"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depend on our demand forecasts for various kinds of pre-owned consumer electronics to manage our inventory. Demand for pre-owned consumer electronics, however, can change significantly between the time inventory is ordered and the date by which they are sold. Demand may be affected by seasonality, new product launches, changes in product cycles and pricing, product defects, and changes in consumer spending patterns, among other factors, and consumers and third-party merchants may not order pre-owned consumer electronics in the quantities that we expect.</w:t>
      </w:r>
    </w:p>
    <w:p>
      <w:pPr>
        <w:spacing w:after="0" w:line="2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Our net inventories were RMB75.2 million as of December 31, 2018, RMB65.6 million as of December 31, 2019, RMB177.0 million (US$27.0 million) as of December 31, 2020 and RMB317.8 million (US$48.5 million) as of March 31, 2021. As we plan to continue expanding our product offerings, we expect to include more pre-owned consumer electronics and other types of pre-owned goods in our inventory, which will make it more challenging for us to manage our inventory effectively and will put more pressure on our warehousing system.</w:t>
      </w:r>
    </w:p>
    <w:p>
      <w:pPr>
        <w:spacing w:after="0" w:line="202"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If we fail to manage our inventory effectively, we may be subject to a heightened risk of inventory obsolescence, a decline in inventory values, and significant inventory write-downs or write-offs. In addition, we may have to lower sale prices in order to reduce inventory level, which may lead to lower income from operations. High inventory levels may also require us to commit substantial capital resources, preventing us from using that capital for other important purposes. Any of the above may materially and adversely affect our results of operations and financial condition.</w:t>
      </w:r>
    </w:p>
    <w:p>
      <w:pPr>
        <w:spacing w:after="0" w:line="20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On the other hand, if we underestimate demand for certain pre-owned consumer electronics, or if we are unable to obtain sufficient amount of pre-owned consumer electronics in a timely manner, we may experience inventory shortages, which might result in missed sales, diminished brand loyalty and lost revenues, any of which could harm our business and reputation.</w:t>
      </w:r>
    </w:p>
    <w:p>
      <w:pPr>
        <w:spacing w:after="0" w:line="289"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b w:val="1"/>
          <w:bCs w:val="1"/>
          <w:i w:val="1"/>
          <w:iCs w:val="1"/>
          <w:color w:val="auto"/>
        </w:rPr>
        <w:t>Our business, results of operations and reputation could be negatively affected by services provided by third-party cloud service providers.</w:t>
      </w:r>
    </w:p>
    <w:p>
      <w:pPr>
        <w:spacing w:after="0" w:line="68" w:lineRule="exact"/>
        <w:rPr>
          <w:sz w:val="20"/>
          <w:szCs w:val="20"/>
          <w:color w:val="auto"/>
        </w:rPr>
      </w:pPr>
    </w:p>
    <w:p>
      <w:pPr>
        <w:ind w:left="120" w:right="20" w:firstLine="551"/>
        <w:spacing w:after="0" w:line="251" w:lineRule="auto"/>
        <w:rPr>
          <w:sz w:val="20"/>
          <w:szCs w:val="20"/>
          <w:color w:val="auto"/>
        </w:rPr>
      </w:pPr>
      <w:r>
        <w:rPr>
          <w:rFonts w:ascii="Arial" w:cs="Arial" w:eastAsia="Arial" w:hAnsi="Arial"/>
          <w:sz w:val="17"/>
          <w:szCs w:val="17"/>
          <w:color w:val="auto"/>
        </w:rPr>
        <w:t>We use third -party cloud service providers to provide us with cloud services to support our business operations. With the expansion of our business, we may be required to upgrade our technology and infrastructure or those of cloud service providers to keep up with the increasing traffic on our platform. If the services provided are unable to meet our demand, or are disrupted, restricted, curtailed or degraded in any way or become unavailable to us, our business may be materially and adversely affected. In addition, we cannot assure you that we will be able to maintain amicable relationships with our cloud service providers. Our cloud service providers could choose to terminate their relationships with us or propose terms that we cannot accept. If we have to engage other cloud service providers and have to migrate our business operation data to new service providers, we cannot guarantee a smooth transition. We may suffer from unexpected incidents in the transition such as data loss, service interruptions, or loss of certain functionalities. As a result, we may have to incur extra expenses to mitigate losses incurred due to these incidents, which could be substantial. Most importantly, we may experience business interruptions due to these unexpected incidents, which would adversely affect our business operations and could also materially and adversely our results of operations. Besides, we have no control over the costs of the services provided by cloud service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providers. If the prices we pay for those services rise significantly, our results of operations may be materially and adversely affected.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results of operations may be subject to seasonal fluctuations.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experience a moderate level of seasonality in our business primarily as a result of new product launches by consumer electronics manufacturers and promotional campaigns by e-commerce platforms in China. For example, we generally experience higher customer traffic and purchase orders during e-commerce platforms’ special promotional campaigns on June 18 and November 11 each year. In addition, new product launches by major cell phone brands such as Apple each year also boost our customer traffic and purchase orders. All of these activities can affect our results for those quarters. Overall, the historical seasonality of our business has been relatively mild since we are in cooperation with multiple consumer electronics manufacturers which historically had product launches generally throughout a year. Our financial condition and results of operations for future periods may continue to fluctuate. As a result, the trading price of our ADSs may fluctuate from time to time due to seasonality.</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operations outside China are subject to a variety of costs and legal, regulatory, political and economic risks.</w:t>
      </w:r>
    </w:p>
    <w:p>
      <w:pPr>
        <w:spacing w:after="0" w:line="12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International expansion is a significant component of our growth strategy and may require significant capital investment, which could strain our resources and adversely impact current performance, while adding complexity to our current operations. Our overseas operations are subject to the laws of the countries in which we operate. If any of our overseas operations, or our associates or agents, violate such laws, we could become subject to sanctions or other penalties, which could negatively affect our reputation, business and operating results.</w:t>
      </w:r>
    </w:p>
    <w:p>
      <w:pPr>
        <w:spacing w:after="0" w:line="202"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In addition, we may face operational issues that could have a material adverse effect on our reputation, business and results of operations. These issues include, without limitation:</w:t>
      </w:r>
    </w:p>
    <w:p>
      <w:pPr>
        <w:spacing w:after="0" w:line="102" w:lineRule="exact"/>
        <w:rPr>
          <w:sz w:val="20"/>
          <w:szCs w:val="20"/>
          <w:color w:val="auto"/>
        </w:rPr>
      </w:pPr>
    </w:p>
    <w:p>
      <w:pPr>
        <w:ind w:left="880" w:right="4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difficulties in developing, staffing and simultaneously managing a foreign operation as a result of distance, language and cultural differences;</w:t>
      </w:r>
    </w:p>
    <w:p>
      <w:pPr>
        <w:spacing w:after="0" w:line="102"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in formulating effective local sales and marketing strategies targeting users from various jurisdictions and cultures, who have a diverse range of preferences and demands;</w:t>
      </w:r>
    </w:p>
    <w:p>
      <w:pPr>
        <w:spacing w:after="0" w:line="102"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in identifying appropriate local business partners and establishing and maintaining good working relationships with them;</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dependence on local platforms in marketing our products and services overseas;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in selecting suitable geographical regions for international business;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customer payment cycles;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w:t>
      </w:r>
    </w:p>
    <w:p>
      <w:pPr>
        <w:spacing w:after="0" w:line="117" w:lineRule="exact"/>
        <w:rPr>
          <w:rFonts w:ascii="Arial" w:cs="Arial" w:eastAsia="Arial" w:hAnsi="Arial"/>
          <w:sz w:val="18"/>
          <w:szCs w:val="18"/>
          <w:color w:val="auto"/>
        </w:rPr>
      </w:pPr>
    </w:p>
    <w:p>
      <w:pPr>
        <w:ind w:left="880" w:right="2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protectionist or national security policies that restrict our ability to invest in or acquire companies; develop, import or export certain technologies, such as the national AI initiative proposed by the United States government; or utilize technologies that are deemed by local governmental regulators to pose a threat to their national security;</w:t>
      </w:r>
    </w:p>
    <w:p>
      <w:pPr>
        <w:spacing w:after="0" w:line="108" w:lineRule="exact"/>
        <w:rPr>
          <w:rFonts w:ascii="Arial" w:cs="Arial" w:eastAsia="Arial" w:hAnsi="Arial"/>
          <w:sz w:val="18"/>
          <w:szCs w:val="18"/>
          <w:color w:val="auto"/>
        </w:rPr>
      </w:pPr>
    </w:p>
    <w:p>
      <w:pPr>
        <w:ind w:left="880" w:right="20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applicable foreign laws and regulations and unexpected changes in laws or regulations, including compliance with privacy laws and data security laws, including the European Union General Data Protection Regulation, or GDPR, and compliance costs across different legal systems;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50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complex and potentially adverse customs, import/export laws, tax rules and regulations or other trade barriers or restrictions which may be applicable to transactions conducted through our international and cross-border platform, related compliance obligations and consequences of non-compliance, and any new developments in these areas; and</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costs associated with doing business in foreign jurisdictions.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or more of these factors could harm our overseas operations and consequently, could harm our overall results of operations.</w:t>
      </w:r>
    </w:p>
    <w:p>
      <w:pPr>
        <w:spacing w:after="0" w:line="298"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If we determine our goodwill and other intangible assets to be impaired, our results of operations and financial condition may be adversely affected.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conducted several acquisition transactions, including the acquisition of Paipai Marketplace from JD Group in June 2019. As a</w:t>
      </w:r>
    </w:p>
    <w:p>
      <w:pPr>
        <w:ind w:left="120"/>
        <w:spacing w:after="0" w:line="234" w:lineRule="auto"/>
        <w:rPr>
          <w:sz w:val="20"/>
          <w:szCs w:val="20"/>
          <w:color w:val="auto"/>
        </w:rPr>
      </w:pPr>
      <w:r>
        <w:rPr>
          <w:rFonts w:ascii="Arial" w:cs="Arial" w:eastAsia="Arial" w:hAnsi="Arial"/>
          <w:sz w:val="18"/>
          <w:szCs w:val="18"/>
          <w:color w:val="auto"/>
        </w:rPr>
        <w:t>result of these transactions, we recognized goodwill and intangible assets (other than goodwill) of RMB19.0 million as of December 31,</w:t>
      </w:r>
    </w:p>
    <w:p>
      <w:pPr>
        <w:ind w:left="120"/>
        <w:spacing w:after="0" w:line="235" w:lineRule="auto"/>
        <w:rPr>
          <w:sz w:val="20"/>
          <w:szCs w:val="20"/>
          <w:color w:val="auto"/>
        </w:rPr>
      </w:pPr>
      <w:r>
        <w:rPr>
          <w:rFonts w:ascii="Arial" w:cs="Arial" w:eastAsia="Arial" w:hAnsi="Arial"/>
          <w:sz w:val="18"/>
          <w:szCs w:val="18"/>
          <w:color w:val="auto"/>
        </w:rPr>
        <w:t>2018, RMB3,486.4 million as of December 31, 2019, RMB3,171.3 million (US$484.0 million) as of December 31, 2020 and RMB3,093.4</w:t>
      </w:r>
    </w:p>
    <w:p>
      <w:pPr>
        <w:ind w:left="120"/>
        <w:spacing w:after="0" w:line="235" w:lineRule="auto"/>
        <w:rPr>
          <w:sz w:val="20"/>
          <w:szCs w:val="20"/>
          <w:color w:val="auto"/>
        </w:rPr>
      </w:pPr>
      <w:r>
        <w:rPr>
          <w:rFonts w:ascii="Arial" w:cs="Arial" w:eastAsia="Arial" w:hAnsi="Arial"/>
          <w:sz w:val="18"/>
          <w:szCs w:val="18"/>
          <w:color w:val="auto"/>
        </w:rPr>
        <w:t>million (US$472.1 million) as of March 31, 2021. The value of goodwill and other intangible assets arising from the transactions we</w:t>
      </w:r>
    </w:p>
    <w:p>
      <w:pPr>
        <w:ind w:left="120"/>
        <w:spacing w:after="0" w:line="235" w:lineRule="auto"/>
        <w:rPr>
          <w:sz w:val="20"/>
          <w:szCs w:val="20"/>
          <w:color w:val="auto"/>
        </w:rPr>
      </w:pPr>
      <w:r>
        <w:rPr>
          <w:rFonts w:ascii="Arial" w:cs="Arial" w:eastAsia="Arial" w:hAnsi="Arial"/>
          <w:sz w:val="18"/>
          <w:szCs w:val="18"/>
          <w:color w:val="auto"/>
        </w:rPr>
        <w:t>conducted is based on forecasts, which are in turn based on a number of assumptions. In particular, we have assumed the brand name</w:t>
      </w:r>
    </w:p>
    <w:p>
      <w:pPr>
        <w:ind w:left="120"/>
        <w:spacing w:after="0" w:line="207" w:lineRule="exact"/>
        <w:rPr>
          <w:sz w:val="20"/>
          <w:szCs w:val="20"/>
          <w:color w:val="auto"/>
        </w:rPr>
      </w:pPr>
      <w:r>
        <w:rPr>
          <w:rFonts w:ascii="Arial" w:cs="Arial" w:eastAsia="Arial" w:hAnsi="Arial"/>
          <w:sz w:val="18"/>
          <w:szCs w:val="18"/>
          <w:color w:val="auto"/>
        </w:rPr>
        <w:t>“</w:t>
      </w:r>
      <w:r>
        <w:rPr>
          <w:rFonts w:ascii="SimSun" w:cs="SimSun" w:eastAsia="SimSun" w:hAnsi="SimSun"/>
          <w:sz w:val="16"/>
          <w:szCs w:val="16"/>
          <w:color w:val="auto"/>
        </w:rPr>
        <w:t>拍拍</w:t>
      </w:r>
      <w:r>
        <w:rPr>
          <w:rFonts w:ascii="Arial" w:cs="Arial" w:eastAsia="Arial" w:hAnsi="Arial"/>
          <w:sz w:val="18"/>
          <w:szCs w:val="18"/>
          <w:color w:val="auto"/>
        </w:rPr>
        <w:t>” owned by JD Group which has an economic life of ten years. If any of these assumptions does not materialize, or if the performance</w:t>
      </w:r>
    </w:p>
    <w:p>
      <w:pPr>
        <w:spacing w:after="0" w:line="23"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of our business is not consistent with such assumptions, we may have to write off a significant amount of our goodwill and intangible assets and record an impairment loss, which could in turn adversely affect our results of operations.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will determine whether goodwill and certain intangible assets are impaired at least on an annual basis and there are inherent uncertainties relating to these factors and to our management’s judgment in applying these factors to the impairment assessment. We could be required to evaluate the impairment prior to the annual assessment if there are any impairment indicators, including disruptions to the operations of acquired companies, unexpected significant declines in operating results or a decline in our market capitalization, any of which could be caused by a failure to successfully operate acquired companies.</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may also suffer impairment loss if the performance of acquired companies is within the management’s expectation, but does not align with market. If we record an impairment loss as a result of these or other factors, our results of operations and financial condition may be adversely affected. In addition, impairment loss could also negatively affect our financial ratios, limit our ability to obtain financing and adversely affect our financial position. Any potential change in the amortization period of intangible assets could also increase the amortization expenses charged to our profit or loss following our regular assessment, which could in turn adversely affect our results of operations.</w:t>
      </w:r>
    </w:p>
    <w:p>
      <w:pPr>
        <w:spacing w:after="0" w:line="29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If we are unable to conduct our marketing activities cost-effectively, our results of operations and financial condition may be materially and adversely affected.</w:t>
      </w:r>
    </w:p>
    <w:p>
      <w:pPr>
        <w:spacing w:after="0" w:line="68"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We have incurred significant expenses on a variety of different marketing and brand promotion efforts designed to expand our customer base, increase the transaction volume on our platform and enhance our brand recognition. For example, we entered into cooperation with top live streaming platforms to promote our platform and sell pre-owned consumer electronics. We have also placed a substantial amount of advertisements on JD Group’s platform. Our brand promotion and marketing activities may not be well received by consumers or third-party merchants and may not realize the levels of effectiveness that we anticipate. We incurred selling and marketing expenses of RMB237.6 million in 2018, RMB566.8 million in 2019, RMB740.5 million (US$113.0 million) in 2020 and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RMB222.6 million (US$34.0 million) in the three months ended March 31, 2021. These selling and marketing expenses include amortization of intangible assets, which primarily represents amortization of the business cooperation agreement, non-compete commitment, and brand names arising from the acquisition of Paipai Marketplace. Amortization of intangible assets amounted to RMB23.7 million in 2018, RMB193.2 million in 2019, RMB308.8 million (US$47.1 million) in 2020 and RMB76.3 million (US$11.6 million) in the three months ended March 31, 2021. Marketing approaches and tools in the pre-owned consumer electronics transactions and services market in China are evolving. This further requires us to enhance our marketing approaches and experiment with new marketing methods to keep pace with industry developments and customer preferences. Failure to refine our existing marketing approaches or to introduce new marketing approaches in a cost-effective manner could reduce our market share, cause our net revenues to decline and negatively impact our profitability.</w:t>
      </w:r>
    </w:p>
    <w:p>
      <w:pPr>
        <w:spacing w:after="0" w:line="29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Our success depends on the continuing and collaborative efforts of our management team, and our business may be severely disrupted if we lose their services.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success heavily depends upon the continued services of our management. In particular, we rely on the expertise and experience of Mr. Kerry Xuefeng Chen, our chairman and chief executive officer, and other executive officers. If one or more of our senior management were unable or unwilling to continue in their present positions, we might not be able to replace them easily or at all, and our business, financial condition and results of operations may be materially and adversely affected. If any of our senior management joins a competitor or forms a competing business, we may lose consumers, third-party merchants, suppliers, know-how and key professionals and staff members. Our senior management has entered into employment agreements and confidentiality and non-competition agreements with us. However, if any dispute arises between our officers and us, we may have to incur substantial costs and expenses in order to enforce such agreements in China or we may be unable to enforce them at all. In addition, we do not have key-man insurance for any of our executive officers or other key personnel. Events or activities attributed to our executive officers or other key personnel, and related publicity, whether or not justified, may affect their ability or willingness to continue to serve our company or dedicate their full time and efforts to our company and negatively affect our brand and reputation, resulting in an adverse effect on our business, operating results and financial condition.</w:t>
      </w:r>
    </w:p>
    <w:p>
      <w:pPr>
        <w:spacing w:after="0" w:line="29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If we are unable to recruit, train and retain qualified personnel or sufficient workforce while controlling our labor costs, our business may be materially and adversely affected.</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intend to hire additional qualified employees to support our business operations and planned expansion. Our future success depends, to a significant extent, on our ability to recruit, train and retain qualified personnel, particularly technical, marketing and other operational personnel with experience in the pre-owned consumer electronics transactions and services industry. Our experienced mid-level managers are instrumental in implementing our business strategies, executing our business plans and supporting our business operations and growth. The effective operation of our managerial and operating systems, operation centers, customer service center and other back office functions also depends on the hard work and quality performance of our management and employees. Since our industry is characterized by high demand and intense competition for talent and labor, we can provide no assurance that we will be able to attract or retain qualified staff or other highly skilled employees that we will need to achieve our strategic objectives. Labor costs in China have increased with China’s economic development, particularly in the large cities where we have business operations. As we have a large AHS store network we are more vulnerable to labor costs increases than that of many of our competitors, which may put us at a competitive disadvantage. If the compensation package offered by us is not competitive in the market, we may not be able to provide sufficient incentives to or maintain stable and dedicated operational staffs and other labor support. Any failure to address these risks and uncertainties could materially and adversely affect our results of operations and financial performance. In addition, our ability to train and integrate new employees into our operations may also be limited and</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may not meet the demand for our business growth on a timely fashion, or at all, and rapid expansion may impair our ability to maintain our corporate culture.</w:t>
      </w:r>
    </w:p>
    <w:p>
      <w:pPr>
        <w:spacing w:after="0" w:line="28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Failure to obtain certain filings, approvals, licenses, permits and certificates required for our business operations may materially and adversely affect our business, financial condition and results of operations.</w:t>
      </w:r>
    </w:p>
    <w:p>
      <w:pPr>
        <w:spacing w:after="0" w:line="68"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accordance with the relevant PRC laws and regulations, we are required to maintain various approvals, licenses, permits and filings to operate our business, including but not limited to business license, electronic data interchange license, commercial franchise filing, and those with respect to environment protection and fire safety inspection. The obtaining of these approvals, licenses, permits and filings are subject to satisfactory compliance with, among other things, the applicable laws and regulations.</w:t>
      </w:r>
    </w:p>
    <w:p>
      <w:pPr>
        <w:spacing w:after="0" w:line="205"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 xml:space="preserve">We have not obtained business operation license for a large number of self-operated offline AHS stores. As of March 31, 2021, there were a total of 81 self-operated offline AHS stores for which we had not obtained business operation license. Pursuant to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Administrative Regulations of the PRC on Company Registration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Measures for the Investigation and Punishment of Unpermitted and Unlicensed Business Operations</w:t>
      </w:r>
      <w:r>
        <w:rPr>
          <w:rFonts w:ascii="Arial" w:cs="Arial" w:eastAsia="Arial" w:hAnsi="Arial"/>
          <w:sz w:val="18"/>
          <w:szCs w:val="18"/>
          <w:color w:val="auto"/>
        </w:rPr>
        <w:t>, failure to obtain business operation license for each self-operated offline AHS store will result in a</w:t>
      </w:r>
      <w:r>
        <w:rPr>
          <w:rFonts w:ascii="Arial" w:cs="Arial" w:eastAsia="Arial" w:hAnsi="Arial"/>
          <w:sz w:val="18"/>
          <w:szCs w:val="18"/>
          <w:i w:val="1"/>
          <w:iCs w:val="1"/>
          <w:color w:val="auto"/>
        </w:rPr>
        <w:t xml:space="preserve"> </w:t>
      </w:r>
      <w:r>
        <w:rPr>
          <w:rFonts w:ascii="Arial" w:cs="Arial" w:eastAsia="Arial" w:hAnsi="Arial"/>
          <w:sz w:val="18"/>
          <w:szCs w:val="18"/>
          <w:color w:val="auto"/>
        </w:rPr>
        <w:t>fine up to RMB10,000. We are currently in the process of obtaining business license and completing relevant filings.</w:t>
      </w:r>
    </w:p>
    <w:p>
      <w:pPr>
        <w:spacing w:after="0" w:line="202"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Our collaboration with AHS store partners to jointly operate offline AHS stores is subject to relevant PRC regulations governing franchise business. As advised by our PRC counsel, PRC laws and regulations require a franchiser to make franchise filing with relevant governmental authorities after entering into the first franchising agreement, and to further update such filing within 30 days after any change occurs to the filed information including those regarding the distribution of stores of all franchisees across Mainland China. Failure to do so would subject such franchiser to relevant governmental authority’s order for the completion of such filings within a prescribed period of time and a fine up to RMB50,000. If such filings are not completed within the prescribed period of time, a fine up to RMB100,000 would be imposed and an announcement shall be made accordingly. As of the date of this prospectus, we have made the initial franchise filing but have not updated such filing to reflect a substantial number of jointly-operated offline AHS stores, and we are still in the process of rectifying such non-compliance.</w:t>
      </w:r>
    </w:p>
    <w:p>
      <w:pPr>
        <w:spacing w:after="0" w:line="207" w:lineRule="exact"/>
        <w:rPr>
          <w:sz w:val="20"/>
          <w:szCs w:val="20"/>
          <w:color w:val="auto"/>
        </w:rPr>
      </w:pPr>
    </w:p>
    <w:p>
      <w:pPr>
        <w:jc w:val="both"/>
        <w:ind w:left="120" w:right="40" w:firstLine="551"/>
        <w:spacing w:after="0" w:line="238" w:lineRule="auto"/>
        <w:rPr>
          <w:sz w:val="20"/>
          <w:szCs w:val="20"/>
          <w:color w:val="auto"/>
        </w:rPr>
      </w:pPr>
      <w:r>
        <w:rPr>
          <w:rFonts w:ascii="Arial" w:cs="Arial" w:eastAsia="Arial" w:hAnsi="Arial"/>
          <w:sz w:val="18"/>
          <w:szCs w:val="18"/>
          <w:color w:val="auto"/>
        </w:rPr>
        <w:t>In addition, as of the date of this prospectus, we have not obtained certificates for fire control inspection for certain of our operation centers in Mainland China. As a result, each of these operation centers may be subject to a fine of up to RMB300,000 or even suspension of business for failure to complete fire control inspection procedures. We are taking rectification measures now, but we cannot assure you that such non-compliance can be rectified in a timely manner.</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Furthermore, uncertainties exist with respect to the interpretation of relevant legal requirements regarding certain licenses and permits. In practice, relevant government authorities may take the view that certain license is not required for operating our business though there may be different interpretations with respect to the licensing requirements. We cannot assure you that relevant government authorities’ interpretation on such licensing requirements will remain the same in the future. If we are required to obtain relevant licenses, we will have to obtain those licenses in a timely manner. In addition, government authorities may impose additional licenses or permits or provides more strict supervision requirements in the future. There is no guarantee that we would be able to obtain such licenses or permits or meet all the supervision requirements in a timely manner, or at all.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leased property interest may be defective and such defects may negatively affect our right to such leases.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currently lease several premises in China. Ownership certificates or other similar proof of certain leased properties have not been provided to us by the relevant lessors. Therefore, we cannot assure you that such lessors are entitled to lease the relevant real properties to us. It is also likely that the construction of such leased properties was illegal and such properties may be ordered by relevant government authorities to be demolished. In addition, a lessor may have failed to lease a property to us in accordance with the intended use specified on the land use right certificate. As a result, we may not be able to continue to use such leased properties and have to relocate to other premises. We cannot assure you that suitable alternative locations are readily available on commercially reasonable terms, or at all, and if we are unable to relocate our operations in a timely manner, our operations may be adversely affected.</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under the PRC laws and regulations, all lease agreements are required to be registered with the local land and real estate administration bureau. The lease agreements for some of our leased properties in China have not been registered with the relevant PRC government authorities. Although failure to do so does not in itself invalidate the leases, we may be subject to fines if we fail to rectify such non-compliance within the prescribed time frame after receiving notice from the relevant PRC government authorities. The penalty ranges from RMB1,000 to RMB10,000 for each unregistered lease, at the discretion of the relevant authority. In the event that any fine is imposed on us for our failure to register our lease agreements, we may not be able to recover such losses from the lessors.</w:t>
      </w:r>
    </w:p>
    <w:p>
      <w:pPr>
        <w:spacing w:after="0" w:line="291" w:lineRule="exact"/>
        <w:rPr>
          <w:sz w:val="20"/>
          <w:szCs w:val="20"/>
          <w:color w:val="auto"/>
        </w:rPr>
      </w:pPr>
    </w:p>
    <w:p>
      <w:pPr>
        <w:ind w:left="120" w:right="440"/>
        <w:spacing w:after="0" w:line="253" w:lineRule="auto"/>
        <w:rPr>
          <w:sz w:val="20"/>
          <w:szCs w:val="20"/>
          <w:color w:val="auto"/>
        </w:rPr>
      </w:pPr>
      <w:r>
        <w:rPr>
          <w:rFonts w:ascii="Arial" w:cs="Arial" w:eastAsia="Arial" w:hAnsi="Arial"/>
          <w:sz w:val="18"/>
          <w:szCs w:val="18"/>
          <w:b w:val="1"/>
          <w:bCs w:val="1"/>
          <w:i w:val="1"/>
          <w:iCs w:val="1"/>
          <w:color w:val="auto"/>
        </w:rPr>
        <w:t>Strategic acquisition of and investments in businesses and assets, and the subsequent integration of newly acquired businesses into our own, create significant challenges that may have a material adverse effect on our business, reputation, results of operations and financial condition.</w:t>
      </w:r>
    </w:p>
    <w:p>
      <w:pPr>
        <w:spacing w:after="0" w:line="8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To further expand our business and strengthen our market-leading position, we may tap into new market opportunities or enter into new markets by forming strategic alliances or making strategic investments and acquisitions. For example, we acquired an online consumer marketplace for pre-owned products, Paipai, from JD Group in 2019. The addition of Paipai has expanded our business to cover consumer online marketplace business, significantly increased our customer traffic, generated synergies to our existing businesses and strengthened our market position in the pre-owned consumer electronics transactions and services market. If we are presented with appropriate opportunities in the future, we may acquire or invest in additional businesses or assets that are complementary to our business. For example, we plan to leverage our technology and service offerings to collaborate with international device resellers and may pursue international strategic initiatives through mergers, acquisitions and joint ventures outside of China. However, strategic acquisitions and the subsequent integration of new businesses and assets into our own would require significant attention from our management and could result in a diversion of resources from our existing business, which in turn could have an adverse effect on our business operations. In addition, acquisitions could result in potential dilutive issuances of equity securities, use of substantial amounts of cash, significant increase of our interest expense, leverage and debt service requirements if we incur additional debt to pay for an acquisition or investment and exposure to potential ongoing financial obligations and unforeseen or hidden liabilities of the acquired businesses. The cost and duration of, and difficulties in, integrating newly acquired businesses and managing a larger overall business could also materially exceed our expectations. After devoting significant resources to potential acquisitions, the transactions may not be closed successfully due to strengthened anti-monopoly enforcement in China. Moreover, we may not be able to achieve our intended strategic synergies and may record substantial impairment charges to goodwill, if we fail to successfully integrate the newly acquired businesses or manage a larger business. Our equity investees may generate significant losses, a portion of which will be shared by us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in accordance with U.S. GAAP. In addition, we may incur impairment losses if the financial or operating results of those investees fail to meet the expectations. In connection with acquisitions, joint ventures or strategic investments outside China, we may from time to time, in some instances enter into foreign currency contracts or other derivative instruments to hedge some or all of the foreign currency fluctuation risks, which subjects us to the risks associated with such derivative contracts and instruments. No assurance can be given that our acquisitions, joint ventures and other strategic investments will be successful and any negative developments in connection with our acquisitions or strategic investment could have a material adverse effect on our business, reputation, results of operations and financial condition.</w:t>
      </w:r>
    </w:p>
    <w:p>
      <w:pPr>
        <w:spacing w:after="0" w:line="289" w:lineRule="exact"/>
        <w:rPr>
          <w:sz w:val="20"/>
          <w:szCs w:val="20"/>
          <w:color w:val="auto"/>
        </w:rPr>
      </w:pPr>
    </w:p>
    <w:p>
      <w:pPr>
        <w:ind w:left="120" w:right="740"/>
        <w:spacing w:after="0" w:line="253" w:lineRule="auto"/>
        <w:rPr>
          <w:sz w:val="20"/>
          <w:szCs w:val="20"/>
          <w:color w:val="auto"/>
        </w:rPr>
      </w:pPr>
      <w:r>
        <w:rPr>
          <w:rFonts w:ascii="Arial" w:cs="Arial" w:eastAsia="Arial" w:hAnsi="Arial"/>
          <w:sz w:val="18"/>
          <w:szCs w:val="18"/>
          <w:b w:val="1"/>
          <w:bCs w:val="1"/>
          <w:i w:val="1"/>
          <w:iCs w:val="1"/>
          <w:color w:val="auto"/>
        </w:rPr>
        <w:t>Any failure or perceived failure by us to comply with anti-monopoly laws and regulations may result in governmental investigations or enforcement actions, litigation or claims against us and could have an adverse effect on our business, financial condition and results of operations.</w:t>
      </w:r>
    </w:p>
    <w:p>
      <w:pPr>
        <w:spacing w:after="0" w:line="8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We have historically invested in or acquired certain assets or equity interests in other companies. We have also been invested by certain investors and entered into business cooperation with certain investor. In the future, we may continue to conduct acquisitions or investment transactions. By conducting these transactions, we are subject to risks related to compliance with relevant anti-monopoly laws and regulations. The PRC anti-monopoly enforcement agencies have in recent years strengthened enforcement under the PRC Anti-monopoly Law. In March 2018, the SAMR was formed as a new governmental agency to take over, among other things, the anti-monopoly enforcement functions from the relevant departments under the MOFCOM, the NDRC and the SAIC, respectively. Since its inception, the SAMR has continued to strengthen anti-monopoly enforcement. On December 28, 2018, the SAMR issued the Notice on Anti-monopoly Enforcement Authorization, which grants authorities to its province-level branches to conduct anti-monopoly enforcement within their respective jurisdictions. On September 11, 2020, the SAMR issued Anti-monopoly Compliance Guideline for Operators, which requires, under the PRC Anti-monopoly Law, operators to establish anti-monopoly compliance management systems to prevent anti-monopoly compliance risks. On February 7, 2021, the Anti-monopoly Commission of the State Council officially promulgated the Anti-Monopoly Guidelines for Platform Economy. Pursuant to an official interpretation from the Anti-monopoly Commission of the State Council, the Anti-Monopoly Guidelines for Platform Economy mainly covers five aspects, including general provisions, monopoly agreements, abusing market dominance, concentration of undertakings, and abusing of administrative powers eliminating or restricting competition. The Anti-Monopoly Guidelines for Platform Economy prohibits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 services to sell services or products, compulsory collection of unnecessary user data). In addition, the Anti-Monopoly Guidelines for Platform Economy also reinforces antitrust merger review for internet platform related transactions to safeguard market competition. As the Anti-Monopoly Guidelines for Platform Economy was newly promulgated, we are uncertain to estimate its specific impact on our business, financial condition, results of operations and prospects. There are also uncertainties with respect to the interpretation of relevant anti-monopoly laws and regulations. Certain transactions may not trigger reporting requirements prima facie but turn out to be subject to relevant reporting obligations. Enforcement agencies also have a wide discretion in their enforcement actions. Not only ongoing transactions, but also historical transactions are subject to their enforcement review. We cannot assure you that we will not be subject to any enforcement actions in our future acquisition transactions, nor can we guarantee that our historical acquisition transactions or our shareholders’ investments in our company are in full</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38" w:lineRule="auto"/>
        <w:rPr>
          <w:sz w:val="20"/>
          <w:szCs w:val="20"/>
          <w:color w:val="auto"/>
        </w:rPr>
      </w:pPr>
      <w:r>
        <w:rPr>
          <w:rFonts w:ascii="Arial" w:cs="Arial" w:eastAsia="Arial" w:hAnsi="Arial"/>
          <w:sz w:val="18"/>
          <w:szCs w:val="18"/>
          <w:color w:val="auto"/>
        </w:rPr>
        <w:t>compliance with relevant anti-monopoly laws and regulations in all respects. If any non-compliance is raised by relevant authorities and determined against us or our counterparties in relevant transactions, we may be subject to fines and other penalties and, in extreme cases, completed historical transactions may have to be rescinded so as to return to the pre-transaction status, which could have a material and adverse effect on our business, financial condition and results of operations.</w:t>
      </w:r>
    </w:p>
    <w:p>
      <w:pPr>
        <w:spacing w:after="0" w:line="29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Any breaches to our security measures, including unauthorized access, computer viruses and “hacking” may adversely affect our database and reduce use of our services and damage our reputation and brand names.</w:t>
      </w:r>
    </w:p>
    <w:p>
      <w:pPr>
        <w:spacing w:after="0" w:line="68"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We process and store data during our ordinary course of business, which makes us or third-party service providers who host our servers targets and potentially vulnerable to cyber-attacks, computer viruses, physical or electronic break-ins, or similar disruptions. Breaches to our security measures, including computer viruses and hacking, may result in significant damage to our hardware and software systems and database, disruptions to our business activities, inadvertent disclosure of confidential or sensitive information, interruptions in access to our platform, and other material adverse effects on our operations, during the transfer of data or at any time, and result in persons obtaining unauthorized access to our systems and data. Our systems may be subject to infiltration as a result of third-party action, employee error, malfeasance or otherwise. While we have taken steps to protect the confidential information that we have access to,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 could cause confidential customer and investor information to be stolen and used for criminal purposes. Security breaches or unauthorized access to confidential information could also expose us to liability related to the loss of the information, time-consuming and expensive litigation and negative publicity. If security measures are breached because of any third-party action, employee error, malfeasance or otherwise, or if design flaws in our technology infrastructure are exposed and exploited, our relationships with customers and investors could be severely damaged, we could incur significant liability and our business and operations could be adversely affected.</w:t>
      </w:r>
    </w:p>
    <w:p>
      <w:pPr>
        <w:spacing w:after="0" w:line="299" w:lineRule="exact"/>
        <w:rPr>
          <w:sz w:val="20"/>
          <w:szCs w:val="20"/>
          <w:color w:val="auto"/>
        </w:rPr>
      </w:pPr>
    </w:p>
    <w:p>
      <w:pPr>
        <w:ind w:left="120" w:right="540"/>
        <w:spacing w:after="0" w:line="301" w:lineRule="auto"/>
        <w:rPr>
          <w:sz w:val="20"/>
          <w:szCs w:val="20"/>
          <w:color w:val="auto"/>
        </w:rPr>
      </w:pPr>
      <w:r>
        <w:rPr>
          <w:rFonts w:ascii="Arial" w:cs="Arial" w:eastAsia="Arial" w:hAnsi="Arial"/>
          <w:sz w:val="17"/>
          <w:szCs w:val="17"/>
          <w:b w:val="1"/>
          <w:bCs w:val="1"/>
          <w:i w:val="1"/>
          <w:iCs w:val="1"/>
          <w:color w:val="auto"/>
        </w:rPr>
        <w:t>The proper functioning of our technology platform is essential to our business. Any failure to maintain the satisfactory performance of our websites, mobile apps and systems could materially and adversely affect our business and reputation.</w:t>
      </w:r>
    </w:p>
    <w:p>
      <w:pPr>
        <w:spacing w:after="0" w:line="4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satisfactory performance, reliability and availability of our technology platform are critical to our success and our ability to attract and retain consumers and third-party merchants and provide quality customer service. Almost all of the sales of pre-owned consumer electronics are made through our online marketplaces. The operations of offline AHS stores also rely on our proprietary business management systems and other technology systems. Any system interruptions caused by telecommunications failures, computer viruses, hacking or other attempts to harm our systems that result in the unavailability or slowdown of our mobile apps and websites or reduced order fulfillment performance could reduce the volume of products sold and the attractiveness of product offerings on our mobile apps and websites. Our servers may also be vulnerable to computer viruses, physical or electronic break-ins and similar disruptions, which could lead to system interruptions, website slowdown or unavailability, delays or errors in transaction processing, loss of data or the inability to accept and fulfill customer orders. Security breaches, computer viruses and hacking attacks have become more prevalent in our industry. Because of our brand recognition in the pre-owned consumer electronics transactions and services industry in China, we believe we are a particularly attractive target for such attacks. We have experienced in the past, and may experience in the future, such attacks and unexpected interruptions. We can provide no assurance that our current security mechanisms will be sufficient to protect our IT systems from any third-party intrusions, viruses or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hacker attacks, information or data theft or other similar activities. Any such future occurrences could reduce customer satisfaction, damage our reputation and result in a material decrease in our revenue.</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Additionally, we must continue to upgrade and improve our technology platform to support our business growth, and failure to do so could impede our growth. However, we cannot assure you that we will be successful in executing these system upgrades and improvement strategies or when the execution of these system upgrades and improvement strategies will be effective. In particular, our systems may experience interruptions during upgrades, and the new technologies or infrastructures may not be fully integrated with the existing systems on a timely basis, or at all. If our existing or future technology platform does not function properly, it could cause system disruptions and slow response times, affecting data transmission, which in turn could materially and adversely affect our business, financial condition and results of operations.</w:t>
      </w:r>
    </w:p>
    <w:p>
      <w:pPr>
        <w:spacing w:after="0" w:line="289"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b w:val="1"/>
          <w:bCs w:val="1"/>
          <w:i w:val="1"/>
          <w:iCs w:val="1"/>
          <w:color w:val="auto"/>
        </w:rPr>
        <w:t>Our business is dependent on the performance of the internet and mobile internet infrastructure and telecommunications networks in China, which may not be able to support the demands associated with our growth.</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business operations are heavily dependent on the performance and reliability of China’s internet infrastructure, the continual accessibility of bandwidth and servers to our service providers’ networks, and the continuing performance, reliability and availability of our technology platform. We use the internet to deliver services to consumers and third-party merchants, who access our websites and mobile apps on the internet. We rely on major Chinese telecommunication companies to provide us with bandwidth for our services, and we may not have any access to comparable alternative networks or services in the event of disruptions, failures or other problems. Internet access may not be available in certain areas due to national disasters, such as earthquakes, or local government decisions. Surges in internet traffic on our platform, regardless of the cause, may seriously disrupt services we provide through our platform and in-store or cause our technology systems and our platform to shut down. If we experience technical problems in delivering our services over the internet either at national or regional level or system shut downs, we could experience reduced demand for our services, lower revenues and increased costs. Consequently, our business, results of operations and financial condition would be adversely affected.</w:t>
      </w:r>
    </w:p>
    <w:p>
      <w:pPr>
        <w:spacing w:after="0" w:line="292"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Customer growth and activity on mobile devices depends upon effective use of mobile operating systems, networks and standards that we do not control.</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to our websites, consumers and third-party merchants can also access to our services through our mobile apps. Although transactions conducted on our mobile apps historically did not account for a significant portion of the total transactions on our marketplaces, our future growth and our results of operations could suffer if we experience difficulties in integrating our mobile apps into mobile devices or if problems arise with our relationships with providers of mobile operating systems or mobile app download stores, if our apps receive unfavorable treatment compared to competing apps on the download stores, or if we face increased costs to distribute or have consumers or third-party merchants use our mobile apps. We are further dependent on the interoperability of our mobile apps with popular mobile operating systems that we do not control, such as iOS and Android, and any changes in such systems that degrade the functionality of our sites or give preferential treatment to competitive products could adversely affect the usage of our sites on mobile devices. In the event that it is more difficult for consumers or third-party merchants to access and use our sites on their mobile devices, or if consumers or third-party merchants choose not to access or to use our sites on their mobile devices or to use mobile products that do not offer access to our sites, our customer growth could be harmed and our business, financial condition and operating results may be adversely affected.</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6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We adopted the Amended and Restated Share Incentive Plan in March 2016, which, together with five subsequent amendments, are referred to as the 2016 Plan, for the purpose of granting share-based compensation awards to attract, motivate, retain and reward certain directors, officers, employees and other eligible persons and to further link the interests of award recipients with those of our shareholders. The maximum aggregate number of ordinary shares which may be issued pursuant to all awards under the 2016 Plan is 21,920,964 ordinary shares. As of the date of this prospectus, we have granted options to purchase 28,464,273 ordinary shares, among which options to purchase a total of 19,728,141 ordinary shares are outstanding. We have also adopted the 2021 share incentive plan, or the 2021 Plan, in 2021 and the maximum aggregate number of ordinary shares that may be issued under the 2021 Plan is 6,021,619. As of the date of this prospectus, 2,964,091 restricted share units have been granted and outstanding under the 2021 Plan.</w:t>
      </w:r>
    </w:p>
    <w:p>
      <w:pPr>
        <w:spacing w:after="0" w:line="20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Upon completion of this offering, options granted under the 2016 Plan that are vested will become exercisable. Therefore, we expect to record an amount of cumulative share-based compensation expense upon the completion of this offering. Were this offering completed on December 31, 2020, we would have recognized share-based compensation expense of RMB91.8 million (US$14.0 million) for those options which had been vested as of December 31, 2020. As of March 31, 2021, share-based compensation of RMB103.6 million (US$15.8 million) would have been recognized immediately if this offering were completed on March 31, 2021. Restricted share units granted under the 2021 Plan and any additional awards that may be granted in the future will also have an impact on our results of operations in the future.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In addition, the issuance of additional equity upon the exercise of options or other types of awards would result in further dilution to our shareholders.</w:t>
      </w:r>
    </w:p>
    <w:p>
      <w:pPr>
        <w:spacing w:after="0" w:line="29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harm our business and competitive position.</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regard our trademarks, copyrights, patents,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Despite these measures, any of our intellectual property rights could be challenged, invalidated, circumvented or misappropriated, or such intellectual property may not be sufficient to provide us with competitive advantages. In addition, there can be no assurance that our patent applications will be approved, that any issued patents will adequately protect our intellectual property, or that such patents will not be challenged by third parties or found by a judicial authority to be invalid or unenforceable. Further, because of the rapid pace of technological change in our industry, parts of our business rely on technologies developed or licensed by third parties, and we may not be able to obtain or continue to obtain licenses and technologies from these third parties at all or on reasonable terms.</w:t>
      </w:r>
    </w:p>
    <w:p>
      <w:pPr>
        <w:spacing w:after="0" w:line="20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Policing any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unauthorized use of our intellectual property is difficult and costly and the steps we take may be inadequate to prevent the infringement or misappropriation of our intellectual property. In the event that we resort to litigation to enforce our intellectual property rights, such litigation could result in substantial costs and a diversion of our managerial and financial resources, and could put our intellectual property at risk of being invalidated or narrowed in scope. We can provide no assurance that we will prevail in such litigation, and even if we do prevail, we may not obtain a meaningful recovery. 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spacing w:after="0" w:line="289"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b w:val="1"/>
          <w:bCs w:val="1"/>
          <w:i w:val="1"/>
          <w:iCs w:val="1"/>
          <w:color w:val="auto"/>
        </w:rPr>
        <w:t>We may be subject to intellectual property infringement claims, which may be expensive to defend and may disrupt our business and operations.</w:t>
      </w:r>
    </w:p>
    <w:p>
      <w:pPr>
        <w:spacing w:after="0" w:line="68" w:lineRule="exact"/>
        <w:rPr>
          <w:sz w:val="20"/>
          <w:szCs w:val="20"/>
          <w:color w:val="auto"/>
        </w:rPr>
      </w:pPr>
    </w:p>
    <w:p>
      <w:pPr>
        <w:ind w:left="120" w:firstLine="551"/>
        <w:spacing w:after="0" w:line="249" w:lineRule="auto"/>
        <w:rPr>
          <w:sz w:val="20"/>
          <w:szCs w:val="20"/>
          <w:color w:val="auto"/>
        </w:rPr>
      </w:pPr>
      <w:r>
        <w:rPr>
          <w:rFonts w:ascii="Arial" w:cs="Arial" w:eastAsia="Arial" w:hAnsi="Arial"/>
          <w:sz w:val="17"/>
          <w:szCs w:val="17"/>
          <w:color w:val="auto"/>
        </w:rPr>
        <w:t>We cannot be certain that our operations or any aspects of our business do not or will not infringe upon or otherwise violate patents, copyrights or other intellectual property rights held by third parties. We may in the future be subject to legal proceedings and claims relating to the intellectual property rights of others. In addition, there may be other third-party intellectual property that is infringed by products or services offered by us or by third-party merchants on our marketplaces, or other aspects of our business. There could also be existing patents of which we are not aware that our products or other aspects of our business may inadvertently infringe. We cannot assure you that holders of patents purportedly relating to some aspect of our technology platform or business, if any such holders exist, would not seek to enforce such patents against us in China, the United States or any other jurisdictions. Further, the application and interpretation of China’s patent laws and the procedures and standards for granting patents in China are still evolving and are uncertain, and we cannot assure you that PRC courts or regulatory authorities would agree with our analysis.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attention and other resources from our business and operations to defend against these third-party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Moreover, we use open source software in connection with our products and services. Companies that incorporate open source software into their products and services have, from time to time, faced claims challenging the ownership of open source software and compliance with open source license terms. As a result, we could be subject to suits by parties claiming ownership of what we believe to be open source software or noncompliance with open source licensing terms. Some open source software licenses require users who distribute open source software as part of their software to publicly disclose all or part of the source code to such software and make available any derivative works of the open source code on unfavorable terms or at no cost. Any requirement to disclose our source code or pay damages for breach of contract could be harmful to our business, results of operations and financial condition.</w:t>
      </w:r>
    </w:p>
    <w:p>
      <w:pPr>
        <w:spacing w:after="0" w:line="200" w:lineRule="exact"/>
        <w:rPr>
          <w:sz w:val="20"/>
          <w:szCs w:val="20"/>
          <w:color w:val="auto"/>
        </w:rPr>
      </w:pPr>
    </w:p>
    <w:p>
      <w:pPr>
        <w:spacing w:after="0" w:line="298"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If we fail to develop and maintain an effective system of internal control over financial reporting, we may be unable to accurately report our financial results or prevent fraud.</w:t>
      </w:r>
    </w:p>
    <w:p>
      <w:pPr>
        <w:spacing w:after="0" w:line="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In connection with the audit of our consolidated financial statements as of and for the fiscal year ended December 31, 2018, 2019 and 2020, we and our independent registered public accounting firm identified one material weakness in our internal control over financial reporting. As defined in the standards established by the U.S. Public Company Accounting Oversight Board, or PCAOB, a “material weakness” is a deficiency,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40"/>
        <w:spacing w:after="0" w:line="246" w:lineRule="auto"/>
        <w:rPr>
          <w:sz w:val="20"/>
          <w:szCs w:val="20"/>
          <w:color w:val="auto"/>
        </w:rPr>
      </w:pPr>
      <w:r>
        <w:rPr>
          <w:rFonts w:ascii="Arial" w:cs="Arial" w:eastAsia="Arial" w:hAnsi="Arial"/>
          <w:sz w:val="18"/>
          <w:szCs w:val="18"/>
          <w:color w:val="auto"/>
        </w:rPr>
        <w:t>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97"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The material weakness identified is our company’s lack of sufficient skilled staff with U.S. GAAP knowledge for the purpose of financial reporting, and lack of formal accounting policies, and procedures manual to ensure proper financial reporting to comply with U.S. GAAP and SEC requirement. The material weakness,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20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Following the identification of the material weakness, we have taken measures and plan to continue to take measures to remediate these deficiencies. See “Management’s Discussion and Analysis of Financial Condition and Results of Operations—Internal Control Over Financial Reporting.”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Upon the completion of this offering, we will be subject to the Sarbanes-Oxley Act of 2002. Section 404 of the Sarbanes-Oxley Act, or Section 404, requires that we include a report from management on the effectiveness of our internal control over financial reporting in our annual report on Form 20-F beginning with our annual report in our second annual report on Form 20-F after becoming a public company. In addition, our independent registered public accounting firm must attest to and report on the effectiveness of our internal control over financial reporting after we become not qualified as an emerging growth company.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an adverse report if it is not satisfied with our internal controls or the level at which our controls are documented, designed, operated or reviewed, or if it interprets the relevant requirements differently from us. In addition, once we have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74" w:lineRule="auto"/>
        <w:rPr>
          <w:sz w:val="20"/>
          <w:szCs w:val="20"/>
          <w:color w:val="auto"/>
        </w:rPr>
      </w:pPr>
      <w:r>
        <w:rPr>
          <w:rFonts w:ascii="Arial" w:cs="Arial" w:eastAsia="Arial" w:hAnsi="Arial"/>
          <w:sz w:val="17"/>
          <w:szCs w:val="17"/>
          <w:color w:val="auto"/>
        </w:rPr>
        <w:t>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limited insurance coverage, which could expose us to significant costs and business disruption.</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We provide social security insurance including pension insurance, unemployment insurance, work-related injury insurance, maternity insurance and medical insurance for our employees. However, insurance companies in China currently offer limited business-related insurance products. Consistent with customary industry practice in China, we do not maintain business interruption or product transportation insurance, nor do we maintain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89" w:lineRule="exact"/>
        <w:rPr>
          <w:sz w:val="20"/>
          <w:szCs w:val="20"/>
          <w:color w:val="auto"/>
        </w:rPr>
      </w:pPr>
    </w:p>
    <w:p>
      <w:pPr>
        <w:ind w:left="120" w:right="700"/>
        <w:spacing w:after="0" w:line="271" w:lineRule="auto"/>
        <w:rPr>
          <w:sz w:val="20"/>
          <w:szCs w:val="20"/>
          <w:color w:val="auto"/>
        </w:rPr>
      </w:pPr>
      <w:r>
        <w:rPr>
          <w:rFonts w:ascii="Arial" w:cs="Arial" w:eastAsia="Arial" w:hAnsi="Arial"/>
          <w:sz w:val="18"/>
          <w:szCs w:val="18"/>
          <w:b w:val="1"/>
          <w:bCs w:val="1"/>
          <w:i w:val="1"/>
          <w:iCs w:val="1"/>
          <w:color w:val="auto"/>
        </w:rPr>
        <w:t>We may, from time to time, be subject to legal proceedings or administrative penalties during the course of our business operations.</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may be subject to legal proceedings or administrative penalties from time to time in the ordinary course of our business, which could have a material adverse effect on our business, results of operations and financial condition. Claims arising out of actual or alleged violations of law could be asserted against us by consumers and businesses that utilize our services, by competitors, or by governmental entities in civil or criminal investigations and proceedings or by other entities. These claims could be asserted under a variety of laws, including but not limited to those related to product liability, consumer protection, intellectual property, unfair competition, privacy, labor and employment, securities, real estate, tort, contract, property and employee benefit. We may continue to be involved in various legal or administrative proceedings and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w:t>
      </w:r>
    </w:p>
    <w:p>
      <w:pPr>
        <w:spacing w:after="0" w:line="290"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with regard to China, may adversely impact our business and operating results.</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U.S. government has recently made statements and taken certain actions that may lead to potential changes to U.S. and international trade policies, including recently-imposed tariffs affecting certain products manufactured in China. It is unknown whether and to what extent new tariffs (or other new laws or regulations) will be adopted, or the effect that any such actions would have on us or our industry and users. Although cross-border business may not be an area of our focus, if we plan to operate internationally in the future, any unfavorable government policies on international trade, such as capital controls or tariffs, may affect the demand for our products and services, impact the competitive position of our products or prevent us from being able to sell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results of operations.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need additional capital, and financing may not be available on terms acceptable to us, or at all.</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believe that our current cash and cash equivalents and anticipated cash flow from operations will be sufficient to meet our anticipated cash needs for the next 12 months. We may, however, require additional capital to pursue our business objectives and respond to business opportunities, challenges or unforeseen circumstances, including to improve our brand awareness, build and maintain our offline network, develop new products or services or further improve existing products and services, and acquire complementary businesses and technologies. If our existing resources are insufficient to satisfy our cash requirements, we may seek to obtain a credit facility or sell additional equity or debt securities. The sale of additional equity securities could result in dilution of our existing shareholders. The incurrence of indebtedness would result in increased debt service obligations and could result in operating and financing covenants that would restrict our operations. It is uncertain whether financing will be available in amounts or on terms acceptable to us, if at all.</w:t>
      </w:r>
    </w:p>
    <w:p>
      <w:pPr>
        <w:spacing w:after="0" w:line="207"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Our ability to retain our existing financial resources and obtain additional financing on acceptable terms is subject to a variety of uncertainties, including but not limited to:</w:t>
      </w:r>
    </w:p>
    <w:p>
      <w:pPr>
        <w:spacing w:after="0" w:line="102"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political and other conditions in China or other jurisdictions where we plan to raise funds in;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PRC governmental policies relating to bank loans and other credit facilities;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PRC governmental regulations of foreign investment and the automobile industry in China;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conditions of capital markets in which we may seek to raise funds;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cash flows.</w:t>
      </w:r>
    </w:p>
    <w:p>
      <w:pPr>
        <w:spacing w:after="0" w:line="212" w:lineRule="exact"/>
        <w:rPr>
          <w:sz w:val="20"/>
          <w:szCs w:val="20"/>
          <w:color w:val="auto"/>
        </w:rPr>
      </w:pPr>
    </w:p>
    <w:p>
      <w:pPr>
        <w:ind w:left="120" w:right="520" w:firstLine="551"/>
        <w:spacing w:after="0"/>
        <w:rPr>
          <w:sz w:val="20"/>
          <w:szCs w:val="20"/>
          <w:color w:val="auto"/>
        </w:rPr>
      </w:pPr>
      <w:r>
        <w:rPr>
          <w:rFonts w:ascii="Arial" w:cs="Arial" w:eastAsia="Arial" w:hAnsi="Arial"/>
          <w:sz w:val="18"/>
          <w:szCs w:val="18"/>
          <w:color w:val="auto"/>
        </w:rPr>
        <w:t>If we are unable to obtain adequate financing or financing on satisfactory terms,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spacing w:after="0" w:line="289"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such as the outbreak of COVID-19, which could significantly disrupt our operations.</w:t>
      </w:r>
    </w:p>
    <w:p>
      <w:pPr>
        <w:spacing w:after="0" w:line="68"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Our business could be adversely affected by the effects of epidemics, including COVID-19, avian influenza, severe acute respiratory syndrome (SARS), influenza A (H1N1), Ebola or another epidemic. Any such occurrences could cause severe disruption to our daily operations, including our fulfillment infrastructure and our customer service centers, and may even require a temporary closure of our facilities. In recent years, there have been outbreaks of epidemics in China and globally. For example, in early 2020, in response to intensifying efforts to contain the spread of COVID-19, the Chinese government took a number of actions, which included extending the Chinese New Year holiday, quarantining individuals infected with or suspected of having COVID-19, prohibiting residents from free travel, encouraging employees of enterprises to work remotely from home and cancelling public activities, among others. The COVID-19 has also resulted in temporary closure of many corporate offices, retail stores, manufacturing facilities and factories across China. We have taken a series of measures in response to the outbreak, including, among others, remote working arrangements for some of our employees and temporarily allowing the government to utilize our fulfillment infrastructure and logistics services for crisis relief. These measures could reduce the capacity and efficiency of our operations and negatively impact the procurement of products, which in turn could negatively affect our results of operations. The extent to which COVID-19 impacts our results of operations will depend on the future developments of the outbreak, including new information concerning the global severity of and actions taken to contain the outbreak, which are highly uncertain and unpredictable. In addition,</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57" w:lineRule="auto"/>
        <w:rPr>
          <w:sz w:val="20"/>
          <w:szCs w:val="20"/>
          <w:color w:val="auto"/>
        </w:rPr>
      </w:pPr>
      <w:r>
        <w:rPr>
          <w:rFonts w:ascii="Arial" w:cs="Arial" w:eastAsia="Arial" w:hAnsi="Arial"/>
          <w:sz w:val="17"/>
          <w:szCs w:val="17"/>
          <w:color w:val="auto"/>
        </w:rPr>
        <w:t>our results of operations could be adversely affected to the extent that the outbreak harms the Chinese economy in general. To the extent the COVID-19 pandemic adversely affects our business and financial results, it may also have the effect of heightening many of the other risks described in this annual report, such as those relating to our level of indebtedness, our need to generate sufficient cash flows to service our indebtedness and our ability to comply with the covenants contained in the agreements that govern our indebtedness.</w:t>
      </w:r>
    </w:p>
    <w:p>
      <w:pPr>
        <w:spacing w:after="0" w:line="189"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also vulnerable to natural disasters and other calamities. If any such disaster were to occur in the future affecting the places where we have major operations in China, our operations could be materially and adversely affected due to loss of personnel and damages to property, including our inventory and our technology systems. Our operation could also be severely disrupted if our suppliers, consumers, third-party merchants or business partners were affected by such natural disasters or health epidemics.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12"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b w:val="1"/>
          <w:bCs w:val="1"/>
          <w:i w:val="1"/>
          <w:iCs w:val="1"/>
          <w:color w:val="auto"/>
        </w:rPr>
        <w:t>If the PRC government finds that the agreements that establish the structure for operating certain of our businesses in China do not comply with PRC regulations relating to the relevant industries, or if these regulations or the interpretation of existing regulations change in the future, we could be subject to severe penalties or be forced to relinquish our interests in those operations.</w:t>
      </w:r>
    </w:p>
    <w:p>
      <w:pPr>
        <w:spacing w:after="0" w:line="8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Foreign ownership of certain parts of our businesses, including value-added telecommunications services, is subject to restrictions under current PRC laws and regulations. For example, foreign investors are not allowed to own in aggregate more than 50% of the equity interests in a value-added telecommunication service provider (excluding e-commerce, domestic multi-party communications, store-and-forward and call centers) and any major foreign investor must have a record of good performance and operating experience in providing value-added telecommunications services. We are a Cayman Islands company and our PRC subsidiaries are considered foreign-invested enterprises. To comply with relevant PRC laws and regulations, we conduct such business activities through one of our VIEs, Shanghai Wanwuxinsheng, which holds a VATS License for internet content-related services (excluding information search and inquiry service, information community service and real-time interactive information service and information protection and processing service), or through one of its wholly-owned subsidiary, Shanghai Yueyi, which will obtain a VATS License for online data processing and transaction processing business. Shanghai Wanwuxinsheng is 72.3425% owned by Mr. Kerry Xuefeng Chen, our co-founder, chairman of the board of directors and chief executive officer, and 27.6575% owned by Mr. Wenjun Sun, our co-founder and director. Mr. Kerry Xuefeng Chen and Mr. Wenjun Sun are PRC citizens. Our WFOE, Shanghai Aihui, has entered into a series of contractual arrangements with our VIEs (including Shanghai Wanwuxinsheng) and their respective shareholders, which enable us to:</w:t>
      </w:r>
    </w:p>
    <w:p>
      <w:pPr>
        <w:spacing w:after="0" w:line="108"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exercise effective control over our VIEs;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bear the obligation to absorb substantially all of the losses of our VIEs;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in our VIEs when and to the extent permitted by PRC law.</w:t>
      </w:r>
    </w:p>
    <w:p>
      <w:pPr>
        <w:spacing w:after="0" w:line="212" w:lineRule="exact"/>
        <w:rPr>
          <w:sz w:val="20"/>
          <w:szCs w:val="20"/>
          <w:color w:val="auto"/>
        </w:rPr>
      </w:pPr>
    </w:p>
    <w:p>
      <w:pPr>
        <w:jc w:val="both"/>
        <w:ind w:left="120" w:right="660" w:firstLine="551"/>
        <w:spacing w:after="0"/>
        <w:rPr>
          <w:sz w:val="20"/>
          <w:szCs w:val="20"/>
          <w:color w:val="auto"/>
        </w:rPr>
      </w:pPr>
      <w:r>
        <w:rPr>
          <w:rFonts w:ascii="Arial" w:cs="Arial" w:eastAsia="Arial" w:hAnsi="Arial"/>
          <w:sz w:val="18"/>
          <w:szCs w:val="18"/>
          <w:color w:val="auto"/>
        </w:rPr>
        <w:t>As a result of these contractual arrangements, we have control over and are the primary beneficiary of our VIEs and hence consolidate their financial results and their subsidiaries into our consolidated financial statements under U.S. GAAP. For a detailed discussion of these contractual arrangements, see “Corporate History and Structure.”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the opinion of Han Kun Law Offices, our PRC counsel, (i) the ownership structures of our WFOE and our VIEs in China, both currently and immediately after giving effect to this offering, are not in violation of mandatory PRC laws and regulations currently in effect in all material respects; and (ii) the contractual arrangements between our WFOE, our VIEs and their respective shareholders governed by PRC law are not in violation of mandatory PRC laws or regulations currently in effect in all material respects, and valid and binding upon each party to such arrangements and enforceable against each party thereto in accordance with their terms and applicable PRC laws and regulations currently in effect. However, our PRC counsel has also advised us that there are substantial uncertainties regarding the interpretation and application of current and future PRC laws, regulations and rules; accordingly, the PRC regulatory authorities may take a view that is contrary to the opinion of our PRC counsel. It is uncertain whether any new PRC laws or regulations relating to variable interest entity structures will be adopted or if adopted, what they would provide. If we or our VIEs are found to be in violation of any existing or future PRC laws or regulations, or fail to obtain or maintain any of the required permits or approvals, the relevant PRC regulatory authorities would have broad discretion to take action in dealing with such violations or failures, including:</w:t>
      </w:r>
    </w:p>
    <w:p>
      <w:pPr>
        <w:spacing w:after="0" w:line="110"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discontinuing or placing restrictions or onerous conditions on our operations;</w:t>
      </w:r>
    </w:p>
    <w:p>
      <w:pPr>
        <w:spacing w:after="0" w:line="117"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imposing fines, confiscating the income from our WFOE or our VIEs, or imposing other requirements with which we or our VIEs may not be able to comply;</w:t>
      </w:r>
    </w:p>
    <w:p>
      <w:pPr>
        <w:spacing w:after="0" w:line="102" w:lineRule="exact"/>
        <w:rPr>
          <w:rFonts w:ascii="Arial" w:cs="Arial" w:eastAsia="Arial" w:hAnsi="Arial"/>
          <w:sz w:val="18"/>
          <w:szCs w:val="18"/>
          <w:color w:val="auto"/>
        </w:rPr>
      </w:pPr>
    </w:p>
    <w:p>
      <w:pPr>
        <w:ind w:left="880" w:right="34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requiring us to restructure our ownership structure or operations, including terminating the contractual arrangements with our VIEs and deregistering the equity pledges of our VIEs, which in turn would affect our ability to consolidate, derive economic interests from, or exert effective control over our VIEs; or</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w:t>
      </w:r>
    </w:p>
    <w:p>
      <w:pPr>
        <w:spacing w:after="0" w:line="212" w:lineRule="exact"/>
        <w:rPr>
          <w:sz w:val="20"/>
          <w:szCs w:val="20"/>
          <w:color w:val="auto"/>
        </w:rPr>
      </w:pPr>
    </w:p>
    <w:p>
      <w:pPr>
        <w:ind w:left="120" w:right="20" w:firstLine="551"/>
        <w:spacing w:after="0" w:line="252" w:lineRule="auto"/>
        <w:rPr>
          <w:sz w:val="20"/>
          <w:szCs w:val="20"/>
          <w:color w:val="auto"/>
        </w:rPr>
      </w:pPr>
      <w:r>
        <w:rPr>
          <w:rFonts w:ascii="Arial" w:cs="Arial" w:eastAsia="Arial" w:hAnsi="Arial"/>
          <w:sz w:val="17"/>
          <w:szCs w:val="17"/>
          <w:color w:val="auto"/>
        </w:rPr>
        <w:t>The imposition of any of these penalties would result in a material and adverse effect on our ability to conduct our business. In addition, it is unclear what impact the PRC government actions would have on us and on our ability to consolidate the financial results of our VIEs in our consolidated financial statements, if the PRC government authorities were to find our legal structure and contractual arrangements to be in violation of PRC laws and regulations. If the imposition of any of these government actions causes us to lose our right to direct the activities of our VIEs or our right to receive substantially all the economic benefits and residual returns from our VIEs and we are not able to restructure our ownership structure and operations in a satisfactory manner, we would no longer be able to consolidate the financial results of our VIEs in our consolidated financial statements. Either of these results, or any other significant penalties that might be imposed on us in this event, would have a material adverse effect on our financial condition and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current corporate structure and business operations may be affected by the newly enacted Foreign Investment Law.</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On March 15, 2019, the National People’s Congress of the PRC promulgated the Foreign Investment Law, which took effect on January 1, 2020. Since it is relatively new, uncertainties exist in relation to its interpretation and implementation. The Foreign Investment Law does not explicitly classify whether variable interest entities that are controlled through contractual arrangements would be deemed as foreign invested enterprises if they are ultimately “controlled” by foreign investors. However, it has a catch-all provision under definition of “foreign investment” that includes investments made by foreign investors in China through other means as provided by laws, administrative regulations or the State Council. Therefore it still leaves leeway for future laws, administrative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00"/>
        <w:spacing w:after="0"/>
        <w:rPr>
          <w:sz w:val="20"/>
          <w:szCs w:val="20"/>
          <w:color w:val="auto"/>
        </w:rPr>
      </w:pPr>
      <w:r>
        <w:rPr>
          <w:rFonts w:ascii="Arial" w:cs="Arial" w:eastAsia="Arial" w:hAnsi="Arial"/>
          <w:sz w:val="18"/>
          <w:szCs w:val="18"/>
          <w:color w:val="auto"/>
        </w:rPr>
        <w:t>regulations or provisions of the State Council to provide for contractual arrangements as a form of foreign investment, and it remains uncertain whether our contractual arrangements will be deemed to be in violation of the market access requirements for foreign investment in the PRC and if yes, how our contractual arrangements should be dealt with.</w:t>
      </w:r>
    </w:p>
    <w:p>
      <w:pPr>
        <w:spacing w:after="0" w:line="20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Foreign Investment Law grants national treatment to foreign-invested entities, except for those foreign-invested entities that operate in industries specified as either “restricted” or “prohibited” from foreign investment in the Special Administrative Measures (Negative List) for Foreign Investment Access jointly promulgated by Ministry of Commerce, or MOFCOM, and the National Development and Reform Commission as amended from time to time. The Foreign Investment Law provides that foreign-invested entities are barred from operating in “prohibited” industries and will require market entry clearance and other approvals from relevant PRC government authorities if operating in “prohibited” industries. On December 26, 2019, the Supreme People’s Court issued the Interpretations on Certain Issues Regarding the Application of Foreign Investment Law, or the FIL Interpretations, which came into effect on January 1, 2020. In accordance with the FIL Interpretations, any claim to invalidate an investment agreement will be supported by courts if such agreement is found to be entered into for purposes of making investments in the “prohibited industries” under the negative list or for purposes of investing in “restricted industries” while failing to satisfy the conditions set out in the Negative List. If our control over our VIEs through contractual arrangements are deemed as foreign investment in the future, and any business of our VIEs is “restricted” or “prohibited” from foreign investment under the “negative list” effective at the time, we may be deemed to be in violation of the Foreign Investment Law, the contractual arrangements that allow us to have control over our VIEs may be deemed as invalid and illegal, and we may be required to unwind such contractual arrangements and/or restructure our business operations, any of which may have a material adverse effect on our business operation.</w:t>
      </w:r>
    </w:p>
    <w:p>
      <w:pPr>
        <w:spacing w:after="0" w:line="21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Furthermore, if future laws, administrative regulations or provisions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and business operations.</w:t>
      </w:r>
    </w:p>
    <w:p>
      <w:pPr>
        <w:spacing w:after="0" w:line="291"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b w:val="1"/>
          <w:bCs w:val="1"/>
          <w:i w:val="1"/>
          <w:iCs w:val="1"/>
          <w:color w:val="auto"/>
        </w:rPr>
        <w:t>We rely on contractual arrangements with our VIEs and their respective shareholders for a large portion of our business operations, which may not be as effective as direct ownership in providing operational control.</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VIEs contributed 98.5%, 98.9%, 96.4% and 97.3% of our consolidated total revenues in 2018, 2019, 2020, and the three months ended March 31, 2021, respectively. We have relied and expect to continue to rely on contractual arrangements with our VIEs and their respective shareholders to conduct our business. For a description of these contractual arrangements, see “Corporate History and Structure.” These contractual arrangements may not be as effective as direct ownership in providing us with control over our VIEs. For example, our VIEs and their respective shareholders could breach their contractual arrangements with us by, among other things, failing to conduct their operations in an acceptable manner or taking other actions that are detrimental to our interests.</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If we had direct ownership of our VIEs, we would be able to exercise our rights as a shareholder to effect changes in the board of directors of our VIEs, which in turn could effect changes, subject to any applicable fiduciary obligations, at the management level. However, under the current contractual arrangements, we rely on the performance by our VIEs and their respective shareholders of their obligations under the contracts to exercise control over our VIEs. The shareholders of our VIEs may not act in the best interests of our company or may not perform their obligations under these contracts. Such risks exist throughout the period in which we intend to operate our business through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contractual arrangements with our VIEs. If any dispute relating to these contracts remains unresolved, we will have to enforce our rights under these contracts through the operations of PRC law and courts and therefore will be subject to uncertainties in the PRC legal system. See “—Any failure by our VIEs or their respective shareholders to perform their obligations under our contractual arrangements with them would have a material and adverse effect on our business.” Therefore, our contractual arrangements with our VIEs may not be as effective in ensuring our control over the relevant portion of our business operations as direct ownership would be.</w:t>
      </w:r>
    </w:p>
    <w:p>
      <w:pPr>
        <w:spacing w:after="0" w:line="288"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Any failure by our VIEs or their respective shareholders to perform their obligations under our contractual arrangements with them would have a material and adverse effect on our business.</w:t>
      </w:r>
    </w:p>
    <w:p>
      <w:pPr>
        <w:spacing w:after="0" w:line="68"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Although the shareholders of our VIEs hold equity interests on record in our VIEs, each such shareholder has irrevocably authorized WFOE or its designated person to exercise his rights as a shareholder of our VIEs pursuant to the terms of the relevant shareholders’ voting rights proxy agreement. However, if our VIEs or their respective shareholders fail to perform their respective obligations under the contractual arrangements, we may have to incur substantial costs and expend additional resources to enforce such arrangements. We may also have to rely on possible remedies under PRC law, including seeking specific performance or injunctive relief, and claiming damages, which we cannot assure you will be sufficient or effective under PRC law. For example, if the shareholders of our VIEs were to refuse to transfer their equity interest in our VIEs to us or our designee when we exercise the purchase option pursuant to these contractual arrangements, or if they were otherwise to act in bad faith toward us, we may have to take legal actions to compel them to perform their contractual obligations.</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All of the agreements under our contractual arrangements are governed by PRC law and provide for the resolution of disputes through arbitration in China. Accordingly, these contracts would be interpreted in accordance with PRC law and any disputes would be resolved in accordance with PRC legal procedures. The legal system in China is not as developed as in some other jurisdictions, such as the United States. As a result, uncertainties in the PRC legal system could limit our ability to enforce these contractual arrangements. See “Risks Related to Doing Business in China—Uncertainties with respect to the PRC legal system and changes in laws and regulations in China could adversely affect us.” Meanwhile, there are very few precedents and little formal guidance as to how contractual arrangements in the context of a variable interest entity should be interpreted or enforced under PRC law, and as a result it may be difficult to predict how an arbitration panel would view such contractual arrangements. Additionally,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Shanghai Wanwuxinsheng, one of our VIEs, holds our VATS License for internet content-related services (excluding information search and inquiry service, information community service and real-time interactive information service and information protection and processing service), and one of its wholly-owned subsidiary, Shanghai Yueyi, will obtain a VATS License for online data processing and transaction processing business (operating e-commerce, excluding internet finance and e-hailing services). In the event we are unable to enforce our contractual arrangements, we may not be able to exert effective control over our VIEs, and our ability to conduct these businesses may be negatively affected.</w:t>
      </w:r>
    </w:p>
    <w:p>
      <w:pPr>
        <w:spacing w:after="0" w:line="291"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The shareholders of our VIEs may have potential conflicts of interest with us, which may materially and adversely affect our business and financial condition.</w:t>
      </w:r>
    </w:p>
    <w:p>
      <w:pPr>
        <w:spacing w:after="0" w:line="68"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One of our two VIEs, Shanghai Wanwuxinsheng, is 72.3425% owned by Mr. Kerry Xuefeng Chen, our co-founder, chairman and chief executive officer, and 27.6575% owned by Mr. Wenjun Sun,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co-founder and director. The other VIE, Shenzhen Lvchuang Network Technology Co., Ltd., is wholly-owned by Mr. Haichen Shen, our employee. The shareholders of our VIEs have entered into a series of contractual arrangements with our WFOE and our VIEs, pursuant to which we have control over and are the primary beneficiary of our VIEs. The shareholders of our VIEs may have potential conflicts of interest with us. They may breach, or cause our VIEs to breach, or refuse to renew, the existing contractual arrangements we have with them and our VIEs, which would have a material and adverse effect on our ability to effectively control our VIEs and receive substantially all the economic benefits from them. For example, the shareholders may be able to cause our agreements with our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207"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Currently, we do not have any arrangements to address potential conflicts of interest between these shareholders and our company, except that we could exercise our purchase option under the option purchase agreements with these shareholders to request them to transfer all of their equity interests in the VIEs to a PRC entity or individual designated by us, to the extent permitted by PRC law. 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shareholders of our VIEs have executed shareholders’ voting rights proxy agreements to appoint our WFOE or a person designated by our WFOE to vote on their behalf and exercise voting rights as shareholders of our VIEs. If we cannot resolve any conflict of interest or dispute between us and the shareholders of our VIEs, we would have to rely on legal proceedings, which could result in disruption of our business and subject us to substantial uncertainty as to the outcome of any such legal proceedings.</w:t>
      </w:r>
    </w:p>
    <w:p>
      <w:pPr>
        <w:spacing w:after="0" w:line="20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shareholders of our VIEs may be involved in personal disputes with third parties or other incidents that may have an adverse effect on their respective equity interests in the relevant VIEs and the validity or enforceability of our contractual arrangements with the relevant entity and its shareholders. For example, in the event that any of the shareholders of our VIEs divorces his or her spouse, the spouse may claim that the equity interest of the relevant VIE held by such shareholder is part of their community property and should be divided between such shareholder and his or her spouse. If such claim is supported by the court, the relevant equity interest may be obtained by the shareholder’s spouse or another third party who is not subject to obligations under our contractual arrangements, which could result in a loss of the effective control over the relevant VIE by us. Similarly, if any of the equity interests of our VIEs is inherited by a third party with whom the current contractual arrangements are not binding, we could lose our control over the relevant VIE or have to maintain such control by incurring unpredictable costs, which could cause significant disruption to our business and operations and harm our financial condition and results of operations.</w:t>
      </w:r>
    </w:p>
    <w:p>
      <w:pPr>
        <w:spacing w:after="0" w:line="20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Although under our current contractual arrangements, (i) each of the spouses of Mr. Kerry Xuefeng Chen, Mr. Wenjun Sun and Mr. Haichen Shen has respectively executed a spousal consent letter, under which each spouse agrees that she will not assert any rights to the equity interests held by the shareholders of our VIEs, and will take every action to ensure the performance of the contractual arrangements, and (ii) the VIEs and their shareholders shall not assign any of their respective rights or obligations to any third party without the prior written consent of our WFOE, we cannot assure you that these undertakings and arrangements will be complied with or effectively enforced. In the case any of them is breached or becomes unenforceable and leads to legal proceedings, it could disrupt our business, distract our management’s attention and subject us to substantial uncertainties as to the outcome of any such legal proceedings.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Contractual arrangements in relation to our VIEs may be subject to scrutiny by the PRC tax authorities and they may determine that we or our VIEs owe additional taxes, which could negatively affected our financial condition and the value of your investment.</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Under applicable PRC laws and regulations, arrangements and transactions among related parties may be subject to audit or challenge by the PRC tax authorities. We could face material and adverse tax consequences if the PRC tax authorities determine that the variable interest entity contractual arrangements were not entered into on an arm’s-length basis in such a way as to result in an impermissible reduction in taxes under applicable PRC laws, rules and regulations, and adjust the income of our VIEs in the form of a transfer pricing adjustment. A transfer pricing adjustment could, among other things, result in a reduction of expense deductions recorded by our VIEs for PRC tax purposes, which could in turn increase their tax liabilities. In addition, the PRC tax authorities may impose punitive interest and other penalties on our VIEs for the adjusted but unpaid taxes according to the applicable regulations. Our financial position could be materially and adversely affected if our VIEs’ tax liabilities increase or if they are required to pay punitive interest and other penalties.</w:t>
      </w:r>
    </w:p>
    <w:p>
      <w:pPr>
        <w:spacing w:after="0" w:line="293"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We may lose the ability to use and enjoy assets held by our VIEs that are material to the operation of certain portion of our business if the VIEs go bankrupt or become subject to a dissolution or liquidation proceeding.</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As part of our contractual arrangements with our VIEs, our VIEs and their subsidiaries hold certain assets that are material to the operation of certain portion of our business, including intellectual property and premise and VATS licenses. If our VIEs go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our VIEs may not, in any manner, sell, transfer, mortgage or dispose of their assets or legal or beneficial interests in the business without our prior consent. If our VIEs undergo a voluntary or involuntary liquidation proceeding, independent third-party creditors may claim rights to some or all of these assets, thereby hindering our ability to operate our business, which could materially and adversely affect our business, financial condition and results of operations.</w:t>
      </w:r>
    </w:p>
    <w:p>
      <w:pPr>
        <w:spacing w:after="0" w:line="294" w:lineRule="exact"/>
        <w:rPr>
          <w:sz w:val="20"/>
          <w:szCs w:val="20"/>
          <w:color w:val="auto"/>
        </w:rPr>
      </w:pPr>
    </w:p>
    <w:p>
      <w:pPr>
        <w:ind w:left="120" w:right="460"/>
        <w:spacing w:after="0" w:line="271" w:lineRule="auto"/>
        <w:rPr>
          <w:sz w:val="20"/>
          <w:szCs w:val="20"/>
          <w:color w:val="auto"/>
        </w:rPr>
      </w:pPr>
      <w:r>
        <w:rPr>
          <w:rFonts w:ascii="Arial" w:cs="Arial" w:eastAsia="Arial" w:hAnsi="Arial"/>
          <w:sz w:val="18"/>
          <w:szCs w:val="18"/>
          <w:b w:val="1"/>
          <w:bCs w:val="1"/>
          <w:i w:val="1"/>
          <w:iCs w:val="1"/>
          <w:color w:val="auto"/>
        </w:rPr>
        <w:t>If the chops of our PRC subsidiaries and our VIEs are not kept safely, are stolen or are used by unauthorized persons or for unauthorized purposes, the corporate governance of these entities could be severely and adversely compromised.</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and VIEs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1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6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A substantial majority of our assets and operations are located in China. Accordingly, our business, financial condition, results of operations and prospects may be influenced to a significant degree by political, economic and social conditions in China generally and by continued economic growth in China as a whole. The PRC economy differs from the economies of most developed countries in many respects, including the level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20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While the PRC economy has experienced significant growth over the past decades, growth has been uneven, both geographically and among various sectors of the economy. The growth rate of the Chinese economy has gradually slowed since 2010, and the impact of COVID-19 on the global and Chinese economy in 2020 is severe.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Any prolonged slowdown in the global and Chinese economy may reduce the demand for our products and services and materially and adversely affect our business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Uncertainties with respect to the PRC legal system and changes in laws and regulations in China could adversely affect us.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conduct our business primarily through our PRC subsidiaries and our VIEs. Our operations in China are governed by PRC laws and regulations. Our PRC subsidiaries are subject to laws and regulations applicable to foreign investment in China. The PRC legal system is a civil law system based on written statutes. Unlike the common law system, prior court decisions under the civil law system may be cited for reference but have limited precedential value. In addition, any new or changes in PRC laws and regulations related to foreign investment in China could affect the business environment and our ability to operate our business in China.</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uncertainties may impede our ability to enforce the contracts we have entered into and could materially and adversely affect our business and results of operations.</w:t>
      </w:r>
    </w:p>
    <w:p>
      <w:pPr>
        <w:spacing w:after="0" w:line="197" w:lineRule="exact"/>
        <w:rPr>
          <w:sz w:val="20"/>
          <w:szCs w:val="20"/>
          <w:color w:val="auto"/>
        </w:rPr>
      </w:pPr>
    </w:p>
    <w:p>
      <w:pPr>
        <w:jc w:val="both"/>
        <w:ind w:left="120" w:right="60" w:firstLine="551"/>
        <w:spacing w:after="0" w:line="238" w:lineRule="auto"/>
        <w:rPr>
          <w:sz w:val="20"/>
          <w:szCs w:val="20"/>
          <w:color w:val="auto"/>
        </w:rPr>
      </w:pPr>
      <w:r>
        <w:rPr>
          <w:rFonts w:ascii="Arial" w:cs="Arial" w:eastAsia="Arial" w:hAnsi="Arial"/>
          <w:sz w:val="18"/>
          <w:szCs w:val="18"/>
          <w:color w:val="auto"/>
        </w:rPr>
        <w:t>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could adversely affect our business and impede our ability to continue our operations.</w:t>
      </w:r>
    </w:p>
    <w:p>
      <w:pPr>
        <w:spacing w:after="0" w:line="29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8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believe that litigation and negative publicity surrounding companies with operations in China that are listed in the U.S. have negatively impacted stock prices for such companies. Various equity-based research organizations have published reports on China-based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 material adverse effect upon our business, including our results of operations, financial condition, cash flows and prospects.</w:t>
      </w:r>
    </w:p>
    <w:p>
      <w:pPr>
        <w:spacing w:after="0" w:line="28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are a company incorporated under the laws of the Cayman Islands, and a majority of our assets and operations are located in China. In addition, substantially all of our directors and officers reside within China and substantially all of them are PRC nationals. As a result, it may be difficult for you to effect service of process upon us or those persons inside Mainland China. It may also be difficult for you to enforce in U.S. courts judgments obtained in U.S. courts based on the civil liability provisions of the U.S. federal securities laws against us and our officers and directors as none of them currently resides in the United States or has substantial assets located in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208"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208"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Shareholder claims that are common in the United States, including securities law class actions and fraud claims, generally are difficult to pursue as a matter of law or practicality in China. For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example, in China, there are significant legal and other obstacles to providing information needed for shareholder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According to Article 177 of the PRC Securities Law which became effective in March 2020, no overseas securities regulator may directly conduct investigation or collect evidence within the territory of the PRC and no entities or individuals may provide documents or materials in connection with securities activities without proper authorization as provided by Article 177. While detailed interpretation of or implementation rules under Article 177 have yet to be available, the inability for an overseas securities regulator to directly conduct investigation or evidence collection activities within China may further increase difficulties faced by investors in protecting your interests. See also “—Risks Related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0"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Fluctuations in exchange rates could have a material and adverse effect on our results of operations and the value of your investment.</w:t>
      </w:r>
    </w:p>
    <w:p>
      <w:pPr>
        <w:spacing w:after="0" w:line="68"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This depreciation halted in 2017, and the RMB appreciated approximately 7% against the U.S. dollar during this one-year period.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213"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Significant revaluation of the Renminbi may have a material and adverse effect on your investment. For example, to the extent that we need to convert U.S. 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205"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Very limited hedging options are available in China to reduce our exposure to exchange rate fluctuations. To date, we have entered into hedging transactions in an effort to reduce our exposure to foreign currency exchange risk. While we may decide to enter into hedging transactions in the future,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PRC regulations may make it more difficult for us to pursue growth through acquisitions.</w:t>
      </w:r>
    </w:p>
    <w:p>
      <w:pPr>
        <w:spacing w:after="0" w:line="1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i w:val="1"/>
          <w:iCs w:val="1"/>
          <w:color w:val="auto"/>
        </w:rPr>
        <w:t>The Regulations on Mergers and Acquisitions of Domestic Enterprises by Foreign Investors</w:t>
      </w:r>
      <w:r>
        <w:rPr>
          <w:rFonts w:ascii="Arial" w:cs="Arial" w:eastAsia="Arial" w:hAnsi="Arial"/>
          <w:sz w:val="18"/>
          <w:szCs w:val="18"/>
          <w:color w:val="auto"/>
        </w:rPr>
        <w:t>, or the M&amp;A Rules,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procedures and requirements that could make merger and acquisition activities by foreign investors more time-consuming and complex. Such regulation requires, among other things, that the Ministry of Commerce, or MOFCOM, be notified in advance of any change of control transaction in which a foreign investor acquires control of a PRC domestic enterprise and involves any of the following circumstances: (i) any important industry is concerned; (ii) such transaction involves factors that have or may have impact on the national economic security; or (iii) such transaction will lead to a change in control of a domestic enterprise which holds a famous trademark or PRC time-honored brand. We do not expect that this offering will trigger MOFCOM pre-notification under each of the above-mentioned circumstances or any review by other PRC government authorities, except as disclosed below in “Risks Related to Doing Business in China—The approval of the China Securities Regulatory Commission may be required in connection with this offering, and, if required, we cannot predict whether we will be able to obtain such approval.” Moreover, </w:t>
      </w:r>
      <w:r>
        <w:rPr>
          <w:rFonts w:ascii="Arial" w:cs="Arial" w:eastAsia="Arial" w:hAnsi="Arial"/>
          <w:sz w:val="18"/>
          <w:szCs w:val="18"/>
          <w:i w:val="1"/>
          <w:iCs w:val="1"/>
          <w:color w:val="auto"/>
        </w:rPr>
        <w:t>the Anti-Monopoly Law</w:t>
      </w:r>
      <w:r>
        <w:rPr>
          <w:rFonts w:ascii="Arial" w:cs="Arial" w:eastAsia="Arial" w:hAnsi="Arial"/>
          <w:sz w:val="18"/>
          <w:szCs w:val="18"/>
          <w:color w:val="auto"/>
        </w:rPr>
        <w:t xml:space="preserve"> promulgated by the Standing Committee of National People’s Congress which became effective in 2008 requires that transactions which are deemed concentrations and involve parties with specified turnover thresholds must be cleared by State Administration for Market Regulation, or the SAMR, the successive authority of MOFCOM, before they can be completed. In addition, </w:t>
      </w:r>
      <w:r>
        <w:rPr>
          <w:rFonts w:ascii="Arial" w:cs="Arial" w:eastAsia="Arial" w:hAnsi="Arial"/>
          <w:sz w:val="18"/>
          <w:szCs w:val="18"/>
          <w:i w:val="1"/>
          <w:iCs w:val="1"/>
          <w:color w:val="auto"/>
        </w:rPr>
        <w:t>Rules of the Ministry of Commerce on Implementation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Security Review System of Mergers and Acquisitions of Domestic Enterprises by Foreign Investors </w:t>
      </w:r>
      <w:r>
        <w:rPr>
          <w:rFonts w:ascii="Arial" w:cs="Arial" w:eastAsia="Arial" w:hAnsi="Arial"/>
          <w:sz w:val="18"/>
          <w:szCs w:val="18"/>
          <w:color w:val="auto"/>
        </w:rPr>
        <w:t>that became effective in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2011 and </w:t>
      </w:r>
      <w:r>
        <w:rPr>
          <w:rFonts w:ascii="Arial" w:cs="Arial" w:eastAsia="Arial" w:hAnsi="Arial"/>
          <w:sz w:val="18"/>
          <w:szCs w:val="18"/>
          <w:i w:val="1"/>
          <w:iCs w:val="1"/>
          <w:color w:val="auto"/>
        </w:rPr>
        <w:t>Measures for the Security Review of Foreign Investment</w:t>
      </w:r>
      <w:r>
        <w:rPr>
          <w:rFonts w:ascii="Arial" w:cs="Arial" w:eastAsia="Arial" w:hAnsi="Arial"/>
          <w:sz w:val="18"/>
          <w:szCs w:val="18"/>
          <w:color w:val="auto"/>
        </w:rPr>
        <w:t xml:space="preserve"> that became effective in January 2021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MOFCOM and the NDRC, may delay or inhibit our ability to complete such transactions, which could affect our ability to expand our business or maintain our market share.</w:t>
      </w:r>
    </w:p>
    <w:p>
      <w:pPr>
        <w:spacing w:after="0" w:line="299"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 xml:space="preserve">A number of PRC laws and regulations have established procedures and requirements that could make merger and acquisition activities in China by foreign investors more time consuming and complex, such as the </w:t>
      </w:r>
      <w:r>
        <w:rPr>
          <w:rFonts w:ascii="Arial" w:cs="Arial" w:eastAsia="Arial" w:hAnsi="Arial"/>
          <w:sz w:val="18"/>
          <w:szCs w:val="18"/>
          <w:i w:val="1"/>
          <w:iCs w:val="1"/>
          <w:color w:val="auto"/>
        </w:rPr>
        <w:t>Anti-monopoly Law</w:t>
      </w:r>
      <w:r>
        <w:rPr>
          <w:rFonts w:ascii="Arial" w:cs="Arial" w:eastAsia="Arial" w:hAnsi="Arial"/>
          <w:sz w:val="18"/>
          <w:szCs w:val="18"/>
          <w:color w:val="auto"/>
        </w:rPr>
        <w:t xml:space="preserve">, the </w:t>
      </w:r>
      <w:r>
        <w:rPr>
          <w:rFonts w:ascii="Arial" w:cs="Arial" w:eastAsia="Arial" w:hAnsi="Arial"/>
          <w:sz w:val="18"/>
          <w:szCs w:val="18"/>
          <w:i w:val="1"/>
          <w:iCs w:val="1"/>
          <w:color w:val="auto"/>
        </w:rPr>
        <w:t>Regulations on Mergers</w:t>
      </w:r>
      <w:r>
        <w:rPr>
          <w:rFonts w:ascii="Arial" w:cs="Arial" w:eastAsia="Arial" w:hAnsi="Arial"/>
          <w:sz w:val="18"/>
          <w:szCs w:val="18"/>
          <w:color w:val="auto"/>
        </w:rPr>
        <w:t xml:space="preserve"> </w:t>
      </w:r>
      <w:r>
        <w:rPr>
          <w:rFonts w:ascii="Arial" w:cs="Arial" w:eastAsia="Arial" w:hAnsi="Arial"/>
          <w:sz w:val="18"/>
          <w:szCs w:val="18"/>
          <w:i w:val="1"/>
          <w:iCs w:val="1"/>
          <w:color w:val="auto"/>
        </w:rPr>
        <w:t>and Acquisitions of Domestic Enterprises by Foreign Investors</w:t>
      </w:r>
      <w:r>
        <w:rPr>
          <w:rFonts w:ascii="Arial" w:cs="Arial" w:eastAsia="Arial" w:hAnsi="Arial"/>
          <w:sz w:val="18"/>
          <w:szCs w:val="18"/>
          <w:color w:val="auto"/>
        </w:rPr>
        <w:t>, or the M&amp;A Rules, the</w:t>
      </w:r>
      <w:r>
        <w:rPr>
          <w:rFonts w:ascii="Arial" w:cs="Arial" w:eastAsia="Arial" w:hAnsi="Arial"/>
          <w:sz w:val="18"/>
          <w:szCs w:val="18"/>
          <w:i w:val="1"/>
          <w:iCs w:val="1"/>
          <w:color w:val="auto"/>
        </w:rPr>
        <w:t xml:space="preserve"> Rules of the Ministry of Commerce on Implementation of Security Review System of Mergers and Acquisitions of Domestic Enterprises by Foreign Investors</w:t>
      </w:r>
      <w:r>
        <w:rPr>
          <w:rFonts w:ascii="Arial" w:cs="Arial" w:eastAsia="Arial" w:hAnsi="Arial"/>
          <w:sz w:val="18"/>
          <w:szCs w:val="18"/>
          <w:color w:val="auto"/>
        </w:rPr>
        <w:t>, or the M&amp;A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Security Review Rules, and the </w:t>
      </w:r>
      <w:r>
        <w:rPr>
          <w:rFonts w:ascii="Arial" w:cs="Arial" w:eastAsia="Arial" w:hAnsi="Arial"/>
          <w:sz w:val="18"/>
          <w:szCs w:val="18"/>
          <w:i w:val="1"/>
          <w:iCs w:val="1"/>
          <w:color w:val="auto"/>
        </w:rPr>
        <w:t>Measures for the Security Review of Foreign Investment</w:t>
      </w:r>
      <w:r>
        <w:rPr>
          <w:rFonts w:ascii="Arial" w:cs="Arial" w:eastAsia="Arial" w:hAnsi="Arial"/>
          <w:sz w:val="18"/>
          <w:szCs w:val="18"/>
          <w:color w:val="auto"/>
        </w:rPr>
        <w:t xml:space="preserve">, or the Foreign Investment Security Review Measures. These laws and regulations impose requirements in some instances that MOFCOM and/or the NDRC be notified in advance of any change-of-control transaction in which a foreign investor takes control of a PRC domestic enterprise. In addition, the </w:t>
      </w:r>
      <w:r>
        <w:rPr>
          <w:rFonts w:ascii="Arial" w:cs="Arial" w:eastAsia="Arial" w:hAnsi="Arial"/>
          <w:sz w:val="18"/>
          <w:szCs w:val="18"/>
          <w:i w:val="1"/>
          <w:iCs w:val="1"/>
          <w:color w:val="auto"/>
        </w:rPr>
        <w:t>Anti-Monopoly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Law </w:t>
      </w:r>
      <w:r>
        <w:rPr>
          <w:rFonts w:ascii="Arial" w:cs="Arial" w:eastAsia="Arial" w:hAnsi="Arial"/>
          <w:sz w:val="18"/>
          <w:szCs w:val="18"/>
          <w:color w:val="auto"/>
        </w:rPr>
        <w:t>requires that relevant anti-monopoly enforcement agencies be notified in advance of any concentration of undertaking if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thresholds are triggered. The M&amp;A Security Review Rules provide that mergers and acquisitions by foreign investors that raise “national defense and security” concerns and mergers and acquisitions through which foreign investors may acquire de</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facto control over domestic enterprises that raise “national security” concerns are subject to strict review by MOFCOM, and prohibit any attempt to bypass a security review, including by structuring the transaction through a proxy or contractual control arrangement. Moreover, the Foreign Investment Security Review Measures provide that foreign investors or the relevant parties in China shall proactively report to the Office of the Working Mechanism any foreign investment in, among other sectors, important information technology and Internet products and services and key technology that involve national security concerns and result in the foreign investor’s acquisition of actual control of the enterprise invested in before making such investment. In the future, we may grow our business by acquiring complementary businesses. Complying with the requirements of the relevant regulations to complete such transactions could be time consuming, and any required approval processes, including approval from MOFCOM, may delay or inhibit our ability to complete such transactions, which could affect our ability to expand our business or maintain our market share.</w:t>
      </w:r>
    </w:p>
    <w:p>
      <w:pPr>
        <w:spacing w:after="0" w:line="293" w:lineRule="exact"/>
        <w:rPr>
          <w:sz w:val="20"/>
          <w:szCs w:val="20"/>
          <w:color w:val="auto"/>
        </w:rPr>
      </w:pPr>
    </w:p>
    <w:p>
      <w:pPr>
        <w:jc w:val="both"/>
        <w:ind w:left="120" w:right="240"/>
        <w:spacing w:after="0" w:line="253" w:lineRule="auto"/>
        <w:rPr>
          <w:sz w:val="20"/>
          <w:szCs w:val="20"/>
          <w:color w:val="auto"/>
        </w:rPr>
      </w:pPr>
      <w:r>
        <w:rPr>
          <w:rFonts w:ascii="Arial" w:cs="Arial" w:eastAsia="Arial" w:hAnsi="Arial"/>
          <w:sz w:val="18"/>
          <w:szCs w:val="18"/>
          <w:b w:val="1"/>
          <w:bCs w:val="1"/>
          <w:i w:val="1"/>
          <w:iCs w:val="1"/>
          <w:color w:val="auto"/>
        </w:rPr>
        <w:t>PRC regulations relating to offshore investment activities by PRC residents may limit our PRC subsidiaries’ ability to change their registered capital or distribute profits to us or otherwise expose us or our PRC resident beneficial owners to liability and penalties under PRC law.</w:t>
      </w:r>
    </w:p>
    <w:p>
      <w:pPr>
        <w:spacing w:after="0" w:line="6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 xml:space="preserve">In July 2014, the State Administration of Foreign Exchange, or SAFE, promulgated </w:t>
      </w:r>
      <w:r>
        <w:rPr>
          <w:rFonts w:ascii="Arial" w:cs="Arial" w:eastAsia="Arial" w:hAnsi="Arial"/>
          <w:sz w:val="18"/>
          <w:szCs w:val="18"/>
          <w:i w:val="1"/>
          <w:iCs w:val="1"/>
          <w:color w:val="auto"/>
        </w:rPr>
        <w:t>the Circular on Relevant Issues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Foreign Exchange Control on Domestic Residents’ Offshore Investment and Financing and Roundtrip Investment Through Special Purpose Vehicles</w:t>
      </w:r>
      <w:r>
        <w:rPr>
          <w:rFonts w:ascii="Arial" w:cs="Arial" w:eastAsia="Arial" w:hAnsi="Arial"/>
          <w:sz w:val="18"/>
          <w:szCs w:val="18"/>
          <w:color w:val="auto"/>
        </w:rPr>
        <w:t>, or SAFE Circular 37. SAFE Circular 37 requires PRC residents (including PRC individuals and PRC corporate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well as foreign individuals that are deemed as PRC residents for foreign exchange administration purpose) to register with SAFE or its local branches in connection with their direct or indirect offshore investment activities and also requires the foreign-invested enterprise that is established through round-trip investment to truthfully disclose its controller(s).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or beneficial owners who are PRC residents and may be applicable to any offshore acquisitions that we make in the future. In February 2015, SAFE promulgated a </w:t>
      </w:r>
      <w:r>
        <w:rPr>
          <w:rFonts w:ascii="Arial" w:cs="Arial" w:eastAsia="Arial" w:hAnsi="Arial"/>
          <w:sz w:val="18"/>
          <w:szCs w:val="18"/>
          <w:i w:val="1"/>
          <w:iCs w:val="1"/>
          <w:color w:val="auto"/>
        </w:rPr>
        <w:t>Notice on Further Simplifying and Improving Foreign Exchange Administration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Policy on Direct Investment</w:t>
      </w:r>
      <w:r>
        <w:rPr>
          <w:rFonts w:ascii="Arial" w:cs="Arial" w:eastAsia="Arial" w:hAnsi="Arial"/>
          <w:sz w:val="18"/>
          <w:szCs w:val="18"/>
          <w:color w:val="auto"/>
        </w:rPr>
        <w:t>, or SAFE Notice 13, effective since June 2015. Under SAFE Notice 13, applications for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inbound foreign direct investments and outbound overseas direct investments, including those required under SAFE Circular 37, should be filed with qualified banks instead of SAFE. The qualified banks examine the applications and accept registrations under the supervision of SAFE.</w:t>
      </w:r>
    </w:p>
    <w:p>
      <w:pPr>
        <w:spacing w:after="0" w:line="206"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Any failure or inability of the relevant shareholders or beneficial owners who are PRC residents to comply with the registration procedures set forth in these regulations, or any failure to disclose or misrepresentation of the controller(s) of the foreign-invested enterprise that is established through round-trip investment (“Round-trip Invested Entity”), may subject us to fines and legal sanctions, such as restrictions on our cross-border investment activities, on the ability of our PRC subsidiaries to distribute dividends and the proceeds from any reduction in capital, share transfer or liquidation to us. Moreover, failure to comply with the various foreign exchange registration requirements described above could result in liability under PRC law for circumventing applicable foreign exchange restrictions.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been notified that each of Mr. Kerry Xuefeng Chen and Mr. Wenjun Sun has completed his initial registration with the local SAFE branch or qualified banks as required by SAFE Circular 37. However, we may not at all times be fully informed of the identities of all the PRC residents holding direct or indirect interest in our company, and we cannot provide any assurance that these PRC residents will comply with our request to make or obtain any applicable registrations or continuously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comply with all requirements under SAFE Circular 37 or other related rules. As a result, we cannot assure you that all of our shareholders or beneficial owners who are PRC residents or entities have complied with, and will in the future make or obtain any applicable registrations or approvals required by, SAFE regulations. Registration for the change in our round-trip invested entity might not be completed in a timely manner. Failure by our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or affect our ownership structure. As a result, our business operations and our ability to distribute profits to you could be materially and adversely affected.</w:t>
      </w:r>
    </w:p>
    <w:p>
      <w:pPr>
        <w:spacing w:after="0" w:line="289"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 xml:space="preserve">In February 2012, SAFE promulgated the </w:t>
      </w:r>
      <w:r>
        <w:rPr>
          <w:rFonts w:ascii="Arial" w:cs="Arial" w:eastAsia="Arial" w:hAnsi="Arial"/>
          <w:sz w:val="18"/>
          <w:szCs w:val="18"/>
          <w:i w:val="1"/>
          <w:iCs w:val="1"/>
          <w:color w:val="auto"/>
        </w:rPr>
        <w:t>Notice of Issues Related to the Foreign Exchange Administration for Domestic Individuals</w:t>
      </w:r>
      <w:r>
        <w:rPr>
          <w:rFonts w:ascii="Arial" w:cs="Arial" w:eastAsia="Arial" w:hAnsi="Arial"/>
          <w:sz w:val="18"/>
          <w:szCs w:val="18"/>
          <w:color w:val="auto"/>
        </w:rPr>
        <w:t xml:space="preserve"> </w:t>
      </w:r>
      <w:r>
        <w:rPr>
          <w:rFonts w:ascii="Arial" w:cs="Arial" w:eastAsia="Arial" w:hAnsi="Arial"/>
          <w:sz w:val="18"/>
          <w:szCs w:val="18"/>
          <w:i w:val="1"/>
          <w:iCs w:val="1"/>
          <w:color w:val="auto"/>
        </w:rPr>
        <w:t>Participating in Stock Incentive Plan of Overseas Listed Company</w:t>
      </w:r>
      <w:r>
        <w:rPr>
          <w:rFonts w:ascii="Arial" w:cs="Arial" w:eastAsia="Arial" w:hAnsi="Arial"/>
          <w:sz w:val="18"/>
          <w:szCs w:val="18"/>
          <w:color w:val="auto"/>
        </w:rPr>
        <w:t>, replacing earlier rules promulgated in 2007. Pursuant to these rules,</w:t>
      </w:r>
      <w:r>
        <w:rPr>
          <w:rFonts w:ascii="Arial" w:cs="Arial" w:eastAsia="Arial" w:hAnsi="Arial"/>
          <w:sz w:val="18"/>
          <w:szCs w:val="18"/>
          <w:i w:val="1"/>
          <w:iCs w:val="1"/>
          <w:color w:val="auto"/>
        </w:rPr>
        <w:t xml:space="preserve"> </w:t>
      </w:r>
      <w:r>
        <w:rPr>
          <w:rFonts w:ascii="Arial" w:cs="Arial" w:eastAsia="Arial" w:hAnsi="Arial"/>
          <w:sz w:val="18"/>
          <w:szCs w:val="18"/>
          <w:color w:val="auto"/>
        </w:rPr>
        <w:t>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China for a continuous period of not less than one year and who have been granted options will be subject to these regulations when our company becomes an overseas-listed company upon the completion of this offering. Failure to complete SAFE registrations may subject them to fines of up to RMB300,000 for entities and up to RMB50,000 for individuals, and legal sanctions and may also limit our ability to contribute additional capital into our PRC subsidiary and limit our PRC subsidiary’s ability to distribute dividends to us. We also face regulatory uncertainties that could restrict our ability to adopt additional incentive plans for our directors, executive officers and employees under PRC law. See “Regulation—PRC—Regulations Related to Employee Stock Incentive Plan.”</w:t>
      </w:r>
    </w:p>
    <w:p>
      <w:pPr>
        <w:spacing w:after="0" w:line="209"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In addition, 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 authorities. See “Regulation—Regulations Relating to Foreign Exchange and Dividend Distribution—Regulations Relating to Stock Incentive Plans.”</w:t>
      </w:r>
    </w:p>
    <w:p>
      <w:pPr>
        <w:spacing w:after="0" w:line="28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Increases in labor costs and enforcement of stricter labor laws and regulations in China may adversely affect our business and our profitability.</w:t>
      </w:r>
    </w:p>
    <w:p>
      <w:pPr>
        <w:spacing w:after="0" w:line="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services, our profitability and results of operations may be materially and adversely affected.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20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October 2010, the Standing Committee of the National People’s Congress promulgated the PRC Social Insurance Law, effective on July 1, 2011 and amended on December 29, 2018. On April 3, 1999, the State Council promulgated the Regulations on the Administration of Housing Funds, which was amended on March 24, 2002 and March 24, 2019.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Certain of our subsidiaries in China did not make such registrations as those subsidiaries did not hire any employees. As a result, we may be subject to orders by the competent labor authorities for rectification and failure to comply with the orders may further subject us to administrative fines.</w:t>
      </w:r>
    </w:p>
    <w:p>
      <w:pPr>
        <w:spacing w:after="0" w:line="207"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291" w:lineRule="exact"/>
        <w:rPr>
          <w:sz w:val="20"/>
          <w:szCs w:val="20"/>
          <w:color w:val="auto"/>
        </w:rPr>
      </w:pPr>
    </w:p>
    <w:p>
      <w:pPr>
        <w:ind w:left="120" w:right="540"/>
        <w:spacing w:after="0" w:line="253"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83"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We are a Cayman Islands holding company and we may rely on dividends and other distributions on equity paid by our PRC subsidiaries for our cash and financing requirements, including the funds necessary to pay dividends and other cash distributions to our shareholders and service any debt we may incur. If any of our PRC subsidiaries incur debt on their own behalf in the future, the instruments governing the debt may restrict their ability to pay dividends or make other distributions to us. Under PRC laws and regulations, our PRC subsidiaries, each of which is a wholly foreign-owned enterprise may pay dividends only out of its respective accumulated profits as determined in accordance with PRC accounting standards and regulations. In addition, a wholly foreign-owned enterprise is required to set aside at least 10% of its after-tax profits each year, if any, to fund a certain statutory reserve fund, until the aggregate amount of such fund reaches 50% of its registered capital. At its discretion, a wholly foreign-owned enterprise may allocate a portion of its after-tax profits based on PRC accounting standards to a staff welfare and bonus fund. These reserve fund and staff welfare and bonus fund cannot be distributed to us as dividends.</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PRC subsidiaries generate primarily all of their revenue in Renminbi, which is not freely convertible into other currencies. As result, any restriction on currency exchange may limit the ability of our PRC subsidiaries to use their Renminbi revenues to pay dividends to us.</w:t>
      </w:r>
    </w:p>
    <w:p>
      <w:pPr>
        <w:spacing w:after="0" w:line="203"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202"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In addition, the Enterprise Income Tax Law and its implementation rules provide that a withholding tax rate of up to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Governmental control of currency conversion may affect the value of your investment.</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99" w:lineRule="exact"/>
        <w:rPr>
          <w:sz w:val="20"/>
          <w:szCs w:val="20"/>
          <w:color w:val="auto"/>
        </w:rPr>
      </w:pPr>
    </w:p>
    <w:p>
      <w:pPr>
        <w:ind w:left="120" w:right="240"/>
        <w:spacing w:after="0" w:line="247"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or additional capital contributions to our PRC subsidiaries and our VIEs in China, which could materially and adversely affect our liquidity and our ability to fund and expand our business.</w:t>
      </w:r>
    </w:p>
    <w:p>
      <w:pPr>
        <w:spacing w:after="0" w:line="8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are an offshore holding company conducting our operations in China through our PRC subsidiaries and our VIEs. We may make loans to our PRC subsidiaries and VIEs subject to the approval from governmental authorities and limitation of amount, or we may make additional capital contributions to our PRC subsidiaries.</w:t>
      </w:r>
    </w:p>
    <w:p>
      <w:pPr>
        <w:spacing w:after="0" w:line="203" w:lineRule="exact"/>
        <w:rPr>
          <w:sz w:val="20"/>
          <w:szCs w:val="20"/>
          <w:color w:val="auto"/>
        </w:rPr>
      </w:pPr>
    </w:p>
    <w:p>
      <w:pPr>
        <w:ind w:left="120" w:right="860" w:firstLine="551"/>
        <w:spacing w:after="0" w:line="246" w:lineRule="auto"/>
        <w:rPr>
          <w:sz w:val="20"/>
          <w:szCs w:val="20"/>
          <w:color w:val="auto"/>
        </w:rPr>
      </w:pPr>
      <w:r>
        <w:rPr>
          <w:rFonts w:ascii="Arial" w:cs="Arial" w:eastAsia="Arial" w:hAnsi="Arial"/>
          <w:sz w:val="18"/>
          <w:szCs w:val="18"/>
          <w:color w:val="auto"/>
        </w:rPr>
        <w:t>Any loans to our PRC subsidiaries, which are treated as foreign-invested enterprises under PRC law, are subject to PRC regulations and foreign exchange loan registrations. For example, loans by us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to our PRC subsidiaries to finance their activities cannot exceed statutory limits and must be registered with the local counterpart of SAFE, and medium or long-term loans by us to our PRC subsidiaries must be recorded and registered with the National Development and Reform Committee, or the NDRC.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w:t>
      </w:r>
    </w:p>
    <w:p>
      <w:pPr>
        <w:spacing w:after="0" w:line="3" w:lineRule="exact"/>
        <w:rPr>
          <w:sz w:val="20"/>
          <w:szCs w:val="20"/>
          <w:color w:val="auto"/>
        </w:rPr>
      </w:pPr>
    </w:p>
    <w:p>
      <w:pPr>
        <w:ind w:left="120" w:right="160" w:hanging="4"/>
        <w:spacing w:after="0" w:line="238" w:lineRule="auto"/>
        <w:tabs>
          <w:tab w:leader="none" w:pos="3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8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 xml:space="preserve">SAFE promulgated the </w:t>
      </w:r>
      <w:r>
        <w:rPr>
          <w:rFonts w:ascii="Arial" w:cs="Arial" w:eastAsia="Arial" w:hAnsi="Arial"/>
          <w:sz w:val="18"/>
          <w:szCs w:val="18"/>
          <w:i w:val="1"/>
          <w:iCs w:val="1"/>
          <w:color w:val="auto"/>
        </w:rPr>
        <w:t>Notice of the State Administration of Foreign Exchange on Reforming the Administration of Foreign</w:t>
      </w:r>
      <w:r>
        <w:rPr>
          <w:rFonts w:ascii="Arial" w:cs="Arial" w:eastAsia="Arial" w:hAnsi="Arial"/>
          <w:sz w:val="18"/>
          <w:szCs w:val="18"/>
          <w:color w:val="auto"/>
        </w:rPr>
        <w:t xml:space="preserve"> </w:t>
      </w:r>
      <w:r>
        <w:rPr>
          <w:rFonts w:ascii="Arial" w:cs="Arial" w:eastAsia="Arial" w:hAnsi="Arial"/>
          <w:sz w:val="18"/>
          <w:szCs w:val="18"/>
          <w:i w:val="1"/>
          <w:iCs w:val="1"/>
          <w:color w:val="auto"/>
        </w:rPr>
        <w:t>Exchange Settlement of Capital of Foreign-invested Enterprises</w:t>
      </w:r>
      <w:r>
        <w:rPr>
          <w:rFonts w:ascii="Arial" w:cs="Arial" w:eastAsia="Arial" w:hAnsi="Arial"/>
          <w:sz w:val="18"/>
          <w:szCs w:val="18"/>
          <w:color w:val="auto"/>
        </w:rPr>
        <w:t>, or SAFE Circular 19, effective from June 2015, in replacement of the</w:t>
      </w:r>
      <w:r>
        <w:rPr>
          <w:rFonts w:ascii="Arial" w:cs="Arial" w:eastAsia="Arial" w:hAnsi="Arial"/>
          <w:sz w:val="18"/>
          <w:szCs w:val="18"/>
          <w:i w:val="1"/>
          <w:iCs w:val="1"/>
          <w:color w:val="auto"/>
        </w:rPr>
        <w:t xml:space="preserve"> Notice of the General Affairs Department of the State Administration of Foreign Exchange on the Relevant Operating Issues Concerning the Improvement of the Administration of the Payment and Settlement of Foreign Exchange Capital of Foreign-Invested Enterprises</w:t>
      </w:r>
      <w:r>
        <w:rPr>
          <w:rFonts w:ascii="Arial" w:cs="Arial" w:eastAsia="Arial" w:hAnsi="Arial"/>
          <w:sz w:val="18"/>
          <w:szCs w:val="18"/>
          <w:color w:val="auto"/>
        </w:rPr>
        <w:t>,</w:t>
      </w:r>
      <w:r>
        <w:rPr>
          <w:rFonts w:ascii="Arial" w:cs="Arial" w:eastAsia="Arial" w:hAnsi="Arial"/>
          <w:sz w:val="18"/>
          <w:szCs w:val="18"/>
          <w:i w:val="1"/>
          <w:iCs w:val="1"/>
          <w:color w:val="auto"/>
        </w:rPr>
        <w:t xml:space="preserve"> the Supplementary Notice of the General Affairs Department of the State Administration of Foreign Exchange on Relevant Operating Issues Concerning Strengthening the Administration of Foreign Exchange Capital Payment and Settlement of Foreign-Invested Enterprises</w:t>
      </w:r>
      <w:r>
        <w:rPr>
          <w:rFonts w:ascii="Arial" w:cs="Arial" w:eastAsia="Arial" w:hAnsi="Arial"/>
          <w:sz w:val="18"/>
          <w:szCs w:val="18"/>
          <w:color w:val="auto"/>
        </w:rPr>
        <w:t>, and</w:t>
      </w:r>
      <w:r>
        <w:rPr>
          <w:rFonts w:ascii="Arial" w:cs="Arial" w:eastAsia="Arial" w:hAnsi="Arial"/>
          <w:sz w:val="18"/>
          <w:szCs w:val="18"/>
          <w:i w:val="1"/>
          <w:iCs w:val="1"/>
          <w:color w:val="auto"/>
        </w:rPr>
        <w:t xml:space="preserve"> the Notice of the State Administration of Foreign Exchange on Issues Concerning Launching in Some Areas the Pilot Program to Reform the Management Mode of Foreign Exchange Capital Settlement of Foreign-Invested Enterprises</w:t>
      </w:r>
      <w:r>
        <w:rPr>
          <w:rFonts w:ascii="Arial" w:cs="Arial" w:eastAsia="Arial" w:hAnsi="Arial"/>
          <w:sz w:val="18"/>
          <w:szCs w:val="18"/>
          <w:color w:val="auto"/>
        </w:rPr>
        <w:t>. According to SAFE Circular 19, the flow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w:t>
      </w:r>
      <w:r>
        <w:rPr>
          <w:rFonts w:ascii="Arial" w:cs="Arial" w:eastAsia="Arial" w:hAnsi="Arial"/>
          <w:sz w:val="18"/>
          <w:szCs w:val="18"/>
          <w:i w:val="1"/>
          <w:iCs w:val="1"/>
          <w:color w:val="auto"/>
        </w:rPr>
        <w:t>the Notice of the State Administration of Foreign Exchange on Reforming and</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Standardizing the Foreign Exchange Settlement Management Policy of Capital Account</w:t>
      </w:r>
      <w:r>
        <w:rPr>
          <w:rFonts w:ascii="Arial" w:cs="Arial" w:eastAsia="Arial" w:hAnsi="Arial"/>
          <w:sz w:val="18"/>
          <w:szCs w:val="18"/>
          <w:color w:val="auto"/>
        </w:rPr>
        <w:t>, or SAFE Circular 16, effective on June 9, 2016,</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including the net proceeds from this offering, to our PRC subsidiaries, which may adversely affect our liquidity and our ability to fund and expand our business in China.</w:t>
      </w:r>
    </w:p>
    <w:p>
      <w:pPr>
        <w:spacing w:after="0" w:line="211"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PRC subsidiaries or VIEs or future capital contributions by us to our PRC subsidiaries. As a result, uncertainties exist as to our ability to provide prompt financial support to our PRC subsidiaries or VIEs when needed. If we fail to complete such registrations or obtain such approvals, our ability to use the proceeds we expect to receive from this offering and to capitalize or otherwise fund our PRC operations may be negatively affected, which could materially and adversely affect our liquidity and our ability to fund and expand our business.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 xml:space="preserve">Under the PRC Enterprise Income Tax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w:t>
      </w:r>
      <w:r>
        <w:rPr>
          <w:rFonts w:ascii="Arial" w:cs="Arial" w:eastAsia="Arial" w:hAnsi="Arial"/>
          <w:sz w:val="18"/>
          <w:szCs w:val="18"/>
          <w:i w:val="1"/>
          <w:iCs w:val="1"/>
          <w:color w:val="auto"/>
        </w:rPr>
        <w:t>the Circular of the State Administration of Taxation on Issues Relating to Identification of PRC-Controlled Overseas</w:t>
      </w:r>
      <w:r>
        <w:rPr>
          <w:rFonts w:ascii="Arial" w:cs="Arial" w:eastAsia="Arial" w:hAnsi="Arial"/>
          <w:sz w:val="18"/>
          <w:szCs w:val="18"/>
          <w:color w:val="auto"/>
        </w:rPr>
        <w:t xml:space="preserve"> </w:t>
      </w:r>
      <w:r>
        <w:rPr>
          <w:rFonts w:ascii="Arial" w:cs="Arial" w:eastAsia="Arial" w:hAnsi="Arial"/>
          <w:sz w:val="18"/>
          <w:szCs w:val="18"/>
          <w:i w:val="1"/>
          <w:iCs w:val="1"/>
          <w:color w:val="auto"/>
        </w:rPr>
        <w:t>Registered Enterprises as Resident Enterprises in Accordance With the De Facto Standards of Organizational Management</w:t>
      </w:r>
      <w:r>
        <w:rPr>
          <w:rFonts w:ascii="Arial" w:cs="Arial" w:eastAsia="Arial" w:hAnsi="Arial"/>
          <w:sz w:val="18"/>
          <w:szCs w:val="18"/>
          <w:color w:val="auto"/>
        </w:rPr>
        <w:t>, or SAT</w:t>
      </w:r>
      <w:r>
        <w:rPr>
          <w:rFonts w:ascii="Arial" w:cs="Arial" w:eastAsia="Arial" w:hAnsi="Arial"/>
          <w:sz w:val="18"/>
          <w:szCs w:val="18"/>
          <w:i w:val="1"/>
          <w:iCs w:val="1"/>
          <w:color w:val="auto"/>
        </w:rPr>
        <w:t xml:space="preserve"> </w:t>
      </w:r>
      <w:r>
        <w:rPr>
          <w:rFonts w:ascii="Arial" w:cs="Arial" w:eastAsia="Arial" w:hAnsi="Arial"/>
          <w:sz w:val="18"/>
          <w:szCs w:val="18"/>
          <w:color w:val="auto"/>
        </w:rPr>
        <w:t>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21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including the holders of our ADSs. In addition, non-resident enterprise shareholders (including our ADS holders) may be subject to PRC tax on gains realized on the sale or other disposition of ADSs or ordinary shares, if such income is treated as sourced from within China. Furthermore, if we are deemed a PRC resident enterprise, dividends payable to our non-PRC individual shareholders (including our ADS holders) and any gain realized on the transfer of ADSs or ordinary shares by such shareholders may be subject to PRC tax at a rate of 10% in the case of non-PRC enterprises or a rate of 20% in the case of non-PRC individuals unless a reduced rate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Class A ordinary shares.</w:t>
      </w:r>
    </w:p>
    <w:p>
      <w:pPr>
        <w:spacing w:after="0" w:line="289"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We face uncertainty with respect to indirect transfers of equity interests in PRC resident enterprises by their non-PRC holding companies.</w:t>
      </w:r>
    </w:p>
    <w:p>
      <w:pPr>
        <w:spacing w:after="0" w:line="50" w:lineRule="exact"/>
        <w:rPr>
          <w:sz w:val="20"/>
          <w:szCs w:val="20"/>
          <w:color w:val="auto"/>
        </w:rPr>
      </w:pPr>
    </w:p>
    <w:p>
      <w:pPr>
        <w:ind w:left="120" w:right="340" w:firstLine="551"/>
        <w:spacing w:after="0" w:line="272" w:lineRule="auto"/>
        <w:rPr>
          <w:sz w:val="20"/>
          <w:szCs w:val="20"/>
          <w:color w:val="auto"/>
        </w:rPr>
      </w:pPr>
      <w:r>
        <w:rPr>
          <w:rFonts w:ascii="Arial" w:cs="Arial" w:eastAsia="Arial" w:hAnsi="Arial"/>
          <w:sz w:val="17"/>
          <w:szCs w:val="17"/>
          <w:color w:val="auto"/>
        </w:rPr>
        <w:t xml:space="preserve">In February 2015, the SAT issued </w:t>
      </w:r>
      <w:r>
        <w:rPr>
          <w:rFonts w:ascii="Arial" w:cs="Arial" w:eastAsia="Arial" w:hAnsi="Arial"/>
          <w:sz w:val="17"/>
          <w:szCs w:val="17"/>
          <w:i w:val="1"/>
          <w:iCs w:val="1"/>
          <w:color w:val="auto"/>
        </w:rPr>
        <w:t>the Public Notice Regarding Certain Enterprise Income Tax Matters on Indirect Transfer of</w:t>
      </w:r>
      <w:r>
        <w:rPr>
          <w:rFonts w:ascii="Arial" w:cs="Arial" w:eastAsia="Arial" w:hAnsi="Arial"/>
          <w:sz w:val="17"/>
          <w:szCs w:val="17"/>
          <w:color w:val="auto"/>
        </w:rPr>
        <w:t xml:space="preserve"> </w:t>
      </w:r>
      <w:r>
        <w:rPr>
          <w:rFonts w:ascii="Arial" w:cs="Arial" w:eastAsia="Arial" w:hAnsi="Arial"/>
          <w:sz w:val="17"/>
          <w:szCs w:val="17"/>
          <w:i w:val="1"/>
          <w:iCs w:val="1"/>
          <w:color w:val="auto"/>
        </w:rPr>
        <w:t>Properties by Non-Resident Enterprises</w:t>
      </w:r>
      <w:r>
        <w:rPr>
          <w:rFonts w:ascii="Arial" w:cs="Arial" w:eastAsia="Arial" w:hAnsi="Arial"/>
          <w:sz w:val="17"/>
          <w:szCs w:val="17"/>
          <w:color w:val="auto"/>
        </w:rPr>
        <w:t>, or SAT Public Notice 7. SAT Public Notice 7 extends its tax jurisdiction to not only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transfers but also transactions involving transfer of other taxable assets, through the offshore transfer of a foreign intermediate holding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owns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tax rate of 10% for the transfer of equity interests in a PRC resident enterprise. Both the transferor and the transferee may be subject to penalties under PRC tax laws if the transferee fails to withhold the taxes and the transferor fails to pay the taxes. However, according to relevant safe harbor rule under SAT Public Notice 7, the PRC tax would not be applicable to the transfer by any non-resident enterprise of ADSs of the Company acquired and sold on public securities markets.</w:t>
      </w:r>
    </w:p>
    <w:p>
      <w:pPr>
        <w:spacing w:after="0" w:line="185" w:lineRule="exact"/>
        <w:rPr>
          <w:sz w:val="20"/>
          <w:szCs w:val="20"/>
          <w:color w:val="auto"/>
        </w:rPr>
      </w:pPr>
    </w:p>
    <w:p>
      <w:pPr>
        <w:ind w:left="120" w:right="80" w:firstLine="551"/>
        <w:spacing w:after="0" w:line="259" w:lineRule="auto"/>
        <w:rPr>
          <w:sz w:val="20"/>
          <w:szCs w:val="20"/>
          <w:color w:val="auto"/>
        </w:rPr>
      </w:pPr>
      <w:r>
        <w:rPr>
          <w:rFonts w:ascii="Arial" w:cs="Arial" w:eastAsia="Arial" w:hAnsi="Arial"/>
          <w:sz w:val="17"/>
          <w:szCs w:val="17"/>
          <w:color w:val="auto"/>
        </w:rPr>
        <w:t xml:space="preserve">On October 17, 2017, the SAT issued </w:t>
      </w:r>
      <w:r>
        <w:rPr>
          <w:rFonts w:ascii="Arial" w:cs="Arial" w:eastAsia="Arial" w:hAnsi="Arial"/>
          <w:sz w:val="17"/>
          <w:szCs w:val="17"/>
          <w:i w:val="1"/>
          <w:iCs w:val="1"/>
          <w:color w:val="auto"/>
        </w:rPr>
        <w:t>the Public Notice on Issues Relating to Withholding at Source of Income Tax of Non-resident</w:t>
      </w:r>
      <w:r>
        <w:rPr>
          <w:rFonts w:ascii="Arial" w:cs="Arial" w:eastAsia="Arial" w:hAnsi="Arial"/>
          <w:sz w:val="17"/>
          <w:szCs w:val="17"/>
          <w:color w:val="auto"/>
        </w:rPr>
        <w:t xml:space="preserve"> </w:t>
      </w:r>
      <w:r>
        <w:rPr>
          <w:rFonts w:ascii="Arial" w:cs="Arial" w:eastAsia="Arial" w:hAnsi="Arial"/>
          <w:sz w:val="17"/>
          <w:szCs w:val="17"/>
          <w:i w:val="1"/>
          <w:iCs w:val="1"/>
          <w:color w:val="auto"/>
        </w:rPr>
        <w:t>Enterprises</w:t>
      </w:r>
      <w:r>
        <w:rPr>
          <w:rFonts w:ascii="Arial" w:cs="Arial" w:eastAsia="Arial" w:hAnsi="Arial"/>
          <w:sz w:val="17"/>
          <w:szCs w:val="17"/>
          <w:color w:val="auto"/>
        </w:rPr>
        <w:t>, or the SAT Public Notice 37, which came into effect on December 1, 2017. According to SAT Public Notice 37, where</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non-resident enterprise fails to declare its tax payable pursuant to Article 39 of the EIT Law, the tax authority may order it to pay its tax due within required time limits, and the non-resident enterprise shall declare and pay its tax payable within such time limits specified by the tax authority. If the non-resident enterprise voluntarily declares and pays its tax payable before the tax authority orders it to do so, it shall be deemed that such enterprise has paid its tax payable in time.</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SAT Public Notice 7 and SAT Public Notice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89"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and, if required, we cannot predict whether we will be able to obtain such approval.</w:t>
      </w:r>
    </w:p>
    <w:p>
      <w:pPr>
        <w:spacing w:after="0" w:line="6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M&amp;A Rules, adopted by six PRC regulatory agencies, requires an overseas special purpose vehicles that are controlled by PRC companies or individuals formed for the purpose of seeking a public listing on an overseas stock exchange through acquisitions of PRC domestic companies of the aforementioned PRC companies or individuals using shares of such special purpose vehicles or held by its shareholders as a consideration to obtain the approval of the China Securities Regulatory Commission, or the CSRC, prior to the listing and trading of such special purpose vehicle’s securities on an overseas stock exchange. However, the application of the M&amp;A Rules remains unclear.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Our PRC counsel has advised us based on their understanding of the current PRC laws, rules and regulations that the CSRC’s approval may not be required for the listing and trading of our ADSs on the New York Stock Exchange in the context of this offering, given that: (i) the CSRC currently has not issued any definitive rule or interpretation concerning whether offerings like ours in this prospectus are subject to this regulation, and (ii) we did not establish our PRC subsidiaries through merger with or acquisition of PRC domestic companies using equities as consideration as defined in the M&amp;A Rules; and (iii) no provision in the M&amp;A Rules classifies the contractual arrangements with variable interest entities as a type of acquisition that fall within the M&amp;A Rules.</w:t>
      </w:r>
    </w:p>
    <w:p>
      <w:pPr>
        <w:spacing w:after="0" w:line="205"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However, our PRC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China, limitations on our operating privileges in China, delays in or restrictions on the repatriation of the proceeds from this offering into the PRC, restrictions on or prohibition of the payments or remittance of dividends by our subsidiaries in China, or other actions that could have a material and adverse effect on our business, 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w:t>
      </w:r>
    </w:p>
    <w:p>
      <w:pPr>
        <w:spacing w:after="0" w:line="299"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b w:val="1"/>
          <w:bCs w:val="1"/>
          <w:i w:val="1"/>
          <w:iCs w:val="1"/>
          <w:color w:val="auto"/>
        </w:rPr>
        <w:t>Our ADSs may be delisted under the Holding Foreign Companies Accountable Act if the PCAOB is unable to inspect auditors who are located in China. The delisting of our ADSs, or the threat of their being delisted, may materially and adversely affect the value of your investment. Additionally, the inability of the PCAOB to conduct inspections deprives our investors with the benefits of such inspections.</w:t>
      </w:r>
    </w:p>
    <w:p>
      <w:pPr>
        <w:spacing w:after="0" w:line="88" w:lineRule="exact"/>
        <w:rPr>
          <w:sz w:val="20"/>
          <w:szCs w:val="20"/>
          <w:color w:val="auto"/>
        </w:rPr>
      </w:pPr>
    </w:p>
    <w:p>
      <w:pPr>
        <w:jc w:val="both"/>
        <w:ind w:left="120" w:right="160" w:firstLine="551"/>
        <w:spacing w:after="0" w:line="238" w:lineRule="auto"/>
        <w:rPr>
          <w:sz w:val="20"/>
          <w:szCs w:val="20"/>
          <w:color w:val="auto"/>
        </w:rPr>
      </w:pPr>
      <w:r>
        <w:rPr>
          <w:rFonts w:ascii="Arial" w:cs="Arial" w:eastAsia="Arial" w:hAnsi="Arial"/>
          <w:sz w:val="18"/>
          <w:szCs w:val="18"/>
          <w:color w:val="auto"/>
        </w:rPr>
        <w:t>The Holding Foreign Companies Accountable Act, or the HFCA Act, was enacted on December 18, 2020. The HFCA Act states if the SEC determines that we have filed audit reports issued by a registered public accounting firm that has not been subject to inspection by the PCAOB for three consecutive years beginning in 2021, the SEC shall prohibit our shares or ADSs from being traded on a national securities exchange or in the over the counter trading market in the U.S.</w:t>
      </w:r>
    </w:p>
    <w:p>
      <w:pPr>
        <w:spacing w:after="0" w:line="205" w:lineRule="exact"/>
        <w:rPr>
          <w:sz w:val="20"/>
          <w:szCs w:val="20"/>
          <w:color w:val="auto"/>
        </w:rPr>
      </w:pPr>
    </w:p>
    <w:p>
      <w:pPr>
        <w:jc w:val="both"/>
        <w:ind w:left="120" w:right="20" w:firstLine="551"/>
        <w:spacing w:after="0" w:line="248" w:lineRule="auto"/>
        <w:rPr>
          <w:sz w:val="20"/>
          <w:szCs w:val="20"/>
          <w:color w:val="auto"/>
        </w:rPr>
      </w:pPr>
      <w:r>
        <w:rPr>
          <w:rFonts w:ascii="Arial" w:cs="Arial" w:eastAsia="Arial" w:hAnsi="Arial"/>
          <w:sz w:val="17"/>
          <w:szCs w:val="17"/>
          <w:color w:val="auto"/>
        </w:rPr>
        <w:t>Our auditor,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w:t>
      </w:r>
    </w:p>
    <w:p>
      <w:pPr>
        <w:spacing w:after="0" w:line="2"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Since our auditor is located in China, a jurisdiction where the PCAOB has been unable to conduct inspections without the approval of the Chinese authorities, our auditor is currently not inspected by the PCAOB.</w:t>
      </w:r>
    </w:p>
    <w:p>
      <w:pPr>
        <w:spacing w:after="0" w:line="197"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On March 24, 2021, the SEC adopted interim final rules relating to the implementation of certain disclosure and documentation requirements of the HFCA Act. We will be required to comply with these rules if the SEC identifies us as having a “non-inspection” year under a process to be subsequently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established by the SEC. The SEC is assessing how to implement other requirements of the HFCA Act, including the listing and trading prohibition requirements described above.</w:t>
      </w:r>
    </w:p>
    <w:p>
      <w:pPr>
        <w:spacing w:after="0" w:line="197"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 SEC may propose additional rules or guidance that could impact us if our auditor is not subject to PCAOB inspection. For example, on August 6, 2020, the President’s Working Group on Financial Markets, or the PWG, issued the Report on Protecting United States Investors from Significant Risks from Chinese Companies to the then President of the United States. This report recommended the SEC implement five recommendations to address companies from jurisdictions that do not provide the PCAOB with sufficient access to fulfil its statutory mandate. Some of the concepts of these recommendations were implemented with the enactment of the HFCA Act. However, some of the recommendations were more stringent than the HFCA Act. For example, if a company was not subject to PCAOB inspection, the report recommended that the transition period before a company would be delisted would end on January 1, 2022.</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SEC has announced that the SEC staff is preparing a consolidated proposal for the rules regarding the implementation of the HFCA Act and to address the recommendations in the PWG report. It is unclear when the SEC will complete its rulemaking and when such rules will become effective and what, if any, of the PWG recommendations will be adopted. The implications of this possible regulation in addition the requirements of the HFCA Act are uncertain. Such uncertainty could cause the market price of our ADSs to be materially and adversely affected, and our securities could be delisted or prohibited from being traded “over-the-counter” earlier than would be required by the HFCA Act. If our securities are unable to be listed on another securities exchange by then, such a delisting would substantially impair your ability to sell or purchase our ADSs when you wish to do so, and the risk and uncertainty associated with a potential delisting would have a negative impact on the price of our ADSs.</w:t>
      </w:r>
    </w:p>
    <w:p>
      <w:pPr>
        <w:spacing w:after="0" w:line="208"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The PCAOB’s inability to conduct inspections in China prevents it from fully evaluating the audits and quality control procedures of our independent registered public accounting firm. As a result, we and investors in our Class A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the PCAOB inspections, which could cause investors and potential investors in our stock to lose confidence in our audit procedures and reported financial information and the quality of our financial statements.</w:t>
      </w:r>
    </w:p>
    <w:p>
      <w:pPr>
        <w:spacing w:after="0" w:line="205"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In May 2013, the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the PCAOB in the PRC or by the CSRC or the PRC Ministry of Finance in the United States. The PCAOB continues to be in discussions with the CSRC and the PRC Ministry of Finance to permit joint inspections in the PRC of audit firms that are registered with the PCAOB and audit Chinese companies that trade on U.S. exchanges.</w:t>
      </w:r>
    </w:p>
    <w:p>
      <w:pPr>
        <w:spacing w:after="0" w:line="288" w:lineRule="exact"/>
        <w:rPr>
          <w:sz w:val="20"/>
          <w:szCs w:val="20"/>
          <w:color w:val="auto"/>
        </w:rPr>
      </w:pPr>
    </w:p>
    <w:p>
      <w:pPr>
        <w:ind w:left="120" w:right="700"/>
        <w:spacing w:after="0" w:line="253" w:lineRule="auto"/>
        <w:rPr>
          <w:sz w:val="20"/>
          <w:szCs w:val="20"/>
          <w:color w:val="auto"/>
        </w:rPr>
      </w:pPr>
      <w:r>
        <w:rPr>
          <w:rFonts w:ascii="Arial" w:cs="Arial" w:eastAsia="Arial" w:hAnsi="Arial"/>
          <w:sz w:val="18"/>
          <w:szCs w:val="18"/>
          <w:b w:val="1"/>
          <w:bCs w:val="1"/>
          <w:i w:val="1"/>
          <w:iCs w:val="1"/>
          <w:color w:val="auto"/>
        </w:rPr>
        <w:t>Proceedings instituted by the SEC against PRC affiliates of the “big four” accounting firms, including our independent registered public accounting firm, could result in financial statements being determined to not be in compliance with the requirements of the Exchange Act.</w:t>
      </w:r>
    </w:p>
    <w:p>
      <w:pPr>
        <w:spacing w:after="0" w:line="8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Starting in 2011 “big four” PRC-based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firms were, however, advised and directed that under Chinese law, they could not respond directly to the U.S. regulators on those requests, and that requests by foreign regulators for access to such papers in China had to be channeled through the China Securities Regulatory Commission, or the CSRC.</w:t>
      </w:r>
    </w:p>
    <w:p>
      <w:pPr>
        <w:spacing w:after="0" w:line="203"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accepted that future requests by the SEC for the production of documents will normally be made to the CSRC. The firms were to receive matching Section 106 requests, and were required to abide by a detailed set of procedures with respect to such requests, which in substance require them to facilitate production via the CSRC. If they failed to meet specified criteria, the SEC retained authority to impose a variety of additional remedial measures on the firms depending on the nature of the failure.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additional remedial measures are imposed on the “big four” PRC-based accounting firms, including our independent registered public accounting firm, we could be unable to timely file future financial statements in compliance with the requirements of the Exchange Act.</w:t>
      </w:r>
    </w:p>
    <w:p>
      <w:pPr>
        <w:spacing w:after="0" w:line="213"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the event the “big four” PRC-based accounting firms become subject to additional legal challenges by the SEC or the PCAOB, depending upon the final outcome, listed companies in the United States with major PRC operations may find it difficult or impossible to retain auditors in respect of their operations in China,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ADSs may be adversely affected.</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the U.S. national securities exchanges or deregistration from the SEC, or both, which would substantially reduce or effectively terminate the trading of the ADSs in the United States.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ADSs and This Offering</w:t>
      </w:r>
    </w:p>
    <w:p>
      <w:pPr>
        <w:spacing w:after="0" w:line="21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There has been no public market for our Class A ordinary shares or ADSs prior to this offering, and you may not be able to resell our ADSs at or above the price you paid, or at all.</w:t>
      </w:r>
    </w:p>
    <w:p>
      <w:pPr>
        <w:spacing w:after="0" w:line="68"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Prior to this initial public offering, there has been no public market for our Class A ordinary shares or ADSs. We will apply to list our ADSs on the New York Stock Exchange. Our Class A ordinary shares will not be listed on any exchange or quoted for trading on any over-the-counter trading system. If an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active trading market for our ADSs does not develop after this offering, the market price and liquidity of our ADSs will be materially and adversely affected.</w:t>
      </w:r>
    </w:p>
    <w:p>
      <w:pPr>
        <w:spacing w:after="0" w:line="197"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Negotiations with the underwriters will determine the initial public offering price for our ADSs which may bear no relationship to their market price after the initial public offering. We cannot assure you that an active trading market for our ADSs will develop or that the market price of our ADSs will not decline below the initial public offering price.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trading price of our ADSs may be volatile, which could result in substantial losses to you.</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trading price of our ADSs can be volatile and fluctuate widely in response to a variety of factors, many of which are beyond our control. In addition, the performance and fluctuation of the market prices of other companies with business operations located mainly in the PRC that have listed their securities in the United States may affect the volatility in the price of and trading volumes for our ADSs. Some of these companies have experienced significant volatility. The trading performances of these PRC companies’ securities may affect the overall investor sentiment towards other PRC companies listed in the United States and consequently may impact the trading performance of our ADSs, regardless of our actual operating performance.</w:t>
      </w:r>
    </w:p>
    <w:p>
      <w:pPr>
        <w:spacing w:after="0" w:line="205"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In addition to the above factors, the price and trading volume of our ADSs may be highly volatile due to multiple factors, including the following:</w:t>
      </w:r>
    </w:p>
    <w:p>
      <w:pPr>
        <w:spacing w:after="0" w:line="102"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developments affecting us or our industry, business partners and third parties that collaborate with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products or those of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conditions in the pre-owned consumer electronics transactions and services industry;</w:t>
      </w:r>
    </w:p>
    <w:p>
      <w:pPr>
        <w:spacing w:after="0" w:line="117" w:lineRule="exact"/>
        <w:rPr>
          <w:rFonts w:ascii="Arial" w:cs="Arial" w:eastAsia="Arial" w:hAnsi="Arial"/>
          <w:sz w:val="18"/>
          <w:szCs w:val="18"/>
          <w:color w:val="auto"/>
        </w:rPr>
      </w:pPr>
    </w:p>
    <w:p>
      <w:pPr>
        <w:ind w:left="880" w:right="72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strategic relationships, joint ventures, capital raisings or capital commitments;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issued and outstanding shares or ADSs;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Class A ordinary shares or ADSs; and</w:t>
      </w:r>
    </w:p>
    <w:p>
      <w:pPr>
        <w:spacing w:after="0" w:line="117"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proceedings instituted recently by the SEC against five PRC-based accounting firms, including our independent registered public accounting firm.</w:t>
      </w:r>
    </w:p>
    <w:p>
      <w:pPr>
        <w:spacing w:after="0" w:line="283"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68"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We have adopted a triple-class voting structure such that our ordinary shares consist of Class A ordinary shares, Class B ordinary shares and Class C ordinary shares. Holders of Class A ordinary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shares, Class B ordinary shares and Class C ordinary shares have the same rights other than voting and conversion rights. Each holder of Class A ordinary shares is entitled to one vote per share, each holder of Class B ordinary shares is entitled to three votes per share and each holder of Class C ordinary shares is entitled to fifteen votes per share subject to vote at our general meetings. Our Class A ordinary shares, Class B ordinary shares and Class C ordinary shares vote together as a single class on all matters submitted to a vote of our shareholders, except as may otherwise be required by law. Each of the Class B ordinary shares or Class C ordinary shares is convertible into one Class A ordinary share, whereas Class A ordinary shares are not convertible into Class B ordinary shares or Class C ordinary shares under any circumstances. Class B ordinary shares are not convertible into Class C ordinary shares, and vice versa. Upon (a) any direct or indirect sale, transfer, assignment or disposition of Class B ordinary shares by the holder thereof or the direct or indirect transfer or assignment of the voting power attached to such Class B ordinary shares through voting proxy or otherwise to any person that is not ultimately controlled by JD.com, Inc.;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ultimately controlled by JD.com, Inc., such Class B ordinary shares are automatically and immediately converted into an equal number of Class A ordinary shares.</w:t>
      </w:r>
    </w:p>
    <w:p>
      <w:pPr>
        <w:spacing w:after="0" w:line="214"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Upon (i) any direct or indirect sale, transfer, assignment or disposition of such number of Class C ordinary shares by the holder thereof or the direct or indirect transfer or assignment of the voting power attached to such number of Class C ordinary shares through voting proxy or otherwise to any person that is not an affiliate of such holder; (ii)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C ordinary shares that is an entity to any person that is not an affiliate of such holder; (iii) the founder (as defined under the post-offering memorandum and articles of association) being neither a director nor the chief executive officer of the Company; (iv) the founder ceases to be the ultimate beneficial owner of any outstanding Class C ordinary shares;</w:t>
      </w:r>
    </w:p>
    <w:p>
      <w:pPr>
        <w:spacing w:after="0" w:line="4" w:lineRule="exact"/>
        <w:rPr>
          <w:sz w:val="20"/>
          <w:szCs w:val="20"/>
          <w:color w:val="auto"/>
        </w:rPr>
      </w:pPr>
    </w:p>
    <w:p>
      <w:pPr>
        <w:ind w:left="120" w:right="180" w:hanging="4"/>
        <w:spacing w:after="0" w:line="238" w:lineRule="auto"/>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founder ceases to be the ultimate beneficial owner of C&amp;XF Group Limited or any other entity that holds Class C ordinary shares; or (vi) the founder being permanently unable to attend board meetings and manage the business affairs of our company as a result of incapacity solely due to his then physical and /or mental condition (which, for the avoidance of doubt, does not include any confinement against his will), such Class C ordinary shares are automatically and immediately converted into an equal number of Class A ordinary shares.</w:t>
      </w:r>
    </w:p>
    <w:p>
      <w:pPr>
        <w:spacing w:after="0" w:line="202"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7"/>
          <w:szCs w:val="17"/>
          <w:color w:val="auto"/>
        </w:rPr>
        <w:t>Upon completion of this offering, Mr. Kerry Xuefeng Chen, our co-founder, chairman and chief executive officer, will beneficially own all of our issued Class C ordinary shares. JD.com Development Limited will beneficially own all of our issued Class B ordinary shares. Due to the disparate voting powers associated with our triple classes of ordinary shares, Mr. Chen and JD.com Development Limited will have</w:t>
      </w:r>
    </w:p>
    <w:p>
      <w:pPr>
        <w:spacing w:after="0" w:line="2"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considerable influence over important corporate matters. Following the completion of this offering, Mr. Chen will beneficially own % of the aggregate voting power of our company, assuming that the underwriters do not exercise their over-allotment option, through C&amp;XF</w:t>
      </w:r>
    </w:p>
    <w:p>
      <w:pPr>
        <w:spacing w:after="0" w:line="1"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Group Limited, a company wholly owned by Mr. Chen, whereas JD.com Development Limited will beneficially own % of the aggregate voting power of our company. After this offering, Mr. Chen and JD.com Development Limited will continue to have considerable influence over matters requiring shareholder approval,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 which could have the effect of depriving the holders of our Class A</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ordinary shares and our ADSs of the opportunity to sell their shares at a premium over the prevailing market price.</w:t>
      </w:r>
    </w:p>
    <w:p>
      <w:pPr>
        <w:spacing w:after="0" w:line="298" w:lineRule="exact"/>
        <w:rPr>
          <w:sz w:val="20"/>
          <w:szCs w:val="20"/>
          <w:color w:val="auto"/>
        </w:rPr>
      </w:pPr>
    </w:p>
    <w:p>
      <w:pPr>
        <w:jc w:val="both"/>
        <w:ind w:left="120" w:right="340"/>
        <w:spacing w:after="0" w:line="253" w:lineRule="auto"/>
        <w:rPr>
          <w:sz w:val="20"/>
          <w:szCs w:val="20"/>
          <w:color w:val="auto"/>
        </w:rPr>
      </w:pPr>
      <w:r>
        <w:rPr>
          <w:rFonts w:ascii="Arial" w:cs="Arial" w:eastAsia="Arial" w:hAnsi="Arial"/>
          <w:sz w:val="18"/>
          <w:szCs w:val="18"/>
          <w:b w:val="1"/>
          <w:bCs w:val="1"/>
          <w:i w:val="1"/>
          <w:iCs w:val="1"/>
          <w:color w:val="auto"/>
        </w:rPr>
        <w:t>The concentration of our share ownership among executive officers, directors, and principal shareholders and their affiliated entities will likely limit your ability to influence corporate matters and could discourage others from pursuing any change of control transaction that holders of our ordinary shares and ADSs may view as beneficial.</w:t>
      </w:r>
    </w:p>
    <w:p>
      <w:pPr>
        <w:spacing w:after="0" w:line="83" w:lineRule="exact"/>
        <w:rPr>
          <w:sz w:val="20"/>
          <w:szCs w:val="20"/>
          <w:color w:val="auto"/>
        </w:rPr>
      </w:pPr>
    </w:p>
    <w:p>
      <w:pPr>
        <w:ind w:left="120" w:right="360" w:firstLine="551"/>
        <w:spacing w:after="0" w:line="248" w:lineRule="auto"/>
        <w:rPr>
          <w:sz w:val="20"/>
          <w:szCs w:val="20"/>
          <w:color w:val="auto"/>
        </w:rPr>
      </w:pPr>
      <w:r>
        <w:rPr>
          <w:rFonts w:ascii="Arial" w:cs="Arial" w:eastAsia="Arial" w:hAnsi="Arial"/>
          <w:sz w:val="17"/>
          <w:szCs w:val="17"/>
          <w:color w:val="auto"/>
        </w:rPr>
        <w:t>Our executive officers, directors, and their affiliated entities together beneficially own approximately 11.4% of our issued and outstanding ordinary shares on an as-converted basis prior to this offering. Upon the completion of this offering, our executive officers,</w:t>
      </w:r>
    </w:p>
    <w:p>
      <w:pPr>
        <w:spacing w:after="0" w:line="1" w:lineRule="exact"/>
        <w:rPr>
          <w:sz w:val="20"/>
          <w:szCs w:val="20"/>
          <w:color w:val="auto"/>
        </w:rPr>
      </w:pPr>
    </w:p>
    <w:p>
      <w:pPr>
        <w:ind w:left="120" w:right="540"/>
        <w:spacing w:after="0" w:line="234" w:lineRule="auto"/>
        <w:rPr>
          <w:sz w:val="20"/>
          <w:szCs w:val="20"/>
          <w:color w:val="auto"/>
        </w:rPr>
      </w:pPr>
      <w:r>
        <w:rPr>
          <w:rFonts w:ascii="Arial" w:cs="Arial" w:eastAsia="Arial" w:hAnsi="Arial"/>
          <w:sz w:val="18"/>
          <w:szCs w:val="18"/>
          <w:color w:val="auto"/>
        </w:rPr>
        <w:t>directors, and their affiliated entities together will beneficially own approximately % of our total issued and outstanding ordinary shares, assuming the underwriters do not exercise their over-allotment option, or % of our total issued and outstanding ordinary</w:t>
      </w:r>
    </w:p>
    <w:p>
      <w:pPr>
        <w:spacing w:after="0" w:line="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shares if the underwriters exercise their over-allotment option in full, without taking into account the ADSs that the existing shareholders or their affiliates may purchase in this offering. As a result of the concentration of ownership, these shareholders will have considerable influence over matters such as decisions regarding mergers and consolidations, amendments to our constitutional documents, election of directors and other significant corporate actions. Such shareholders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our ordinary shares and ADSs may view as beneficial.</w:t>
      </w:r>
    </w:p>
    <w:p>
      <w:pPr>
        <w:spacing w:after="0" w:line="293"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83"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8"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purchase ADSs in this offering, you will pay more for your ADSs than the amount paid by our existing shareholders for their</w:t>
      </w:r>
    </w:p>
    <w:p>
      <w:pPr>
        <w:ind w:left="120"/>
        <w:spacing w:after="0"/>
        <w:tabs>
          <w:tab w:leader="none" w:pos="9320" w:val="left"/>
        </w:tabs>
        <w:rPr>
          <w:sz w:val="20"/>
          <w:szCs w:val="20"/>
          <w:color w:val="auto"/>
        </w:rPr>
      </w:pPr>
      <w:r>
        <w:rPr>
          <w:rFonts w:ascii="Arial" w:cs="Arial" w:eastAsia="Arial" w:hAnsi="Arial"/>
          <w:sz w:val="18"/>
          <w:szCs w:val="18"/>
          <w:color w:val="auto"/>
        </w:rPr>
        <w:t>ordinary shares on a per ADS basis. As a result, you will experience immediate and substantial dilution of US$</w:t>
      </w:r>
      <w:r>
        <w:rPr>
          <w:sz w:val="20"/>
          <w:szCs w:val="20"/>
          <w:color w:val="auto"/>
        </w:rPr>
        <w:tab/>
      </w:r>
      <w:r>
        <w:rPr>
          <w:rFonts w:ascii="Arial" w:cs="Arial" w:eastAsia="Arial" w:hAnsi="Arial"/>
          <w:sz w:val="17"/>
          <w:szCs w:val="17"/>
          <w:color w:val="auto"/>
        </w:rPr>
        <w:t>per ADS, representing</w:t>
      </w:r>
    </w:p>
    <w:p>
      <w:pPr>
        <w:spacing w:after="0" w:line="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difference between the initial public offering price of US$ per ADS and our adjusted net tangible book value per ADS as of March 31, 2021, after giving effect to our sale of the ADSs offered in this offering. In addition, you may experience further dilution to the extent that our ordinary shares are issued upon the exercise of share options. See “Dilution” for a more complete description of how the value of your investment in the ADSs will be diluted upon completion of this offering.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Techniques employed by short sellers may drive down the market price of the ADSs.</w:t>
      </w:r>
    </w:p>
    <w:p>
      <w:pPr>
        <w:spacing w:after="0" w:line="126"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from a third party with the intention of buying identical securities back at a later date to return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20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89"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8" w:lineRule="exact"/>
        <w:rPr>
          <w:sz w:val="20"/>
          <w:szCs w:val="20"/>
          <w:color w:val="auto"/>
        </w:rPr>
      </w:pPr>
    </w:p>
    <w:p>
      <w:pPr>
        <w:ind w:left="120" w:right="320" w:firstLine="551"/>
        <w:spacing w:after="0"/>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Substantial future sales or perceived potential sales of our ADSs in the public market could cause the price of our ADSs to decline.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of our ADSs in the public market after this offering, or the perception that these sales could occur, could cause the market</w:t>
      </w:r>
    </w:p>
    <w:p>
      <w:pPr>
        <w:ind w:left="120" w:right="20"/>
        <w:spacing w:after="0" w:line="236" w:lineRule="auto"/>
        <w:rPr>
          <w:sz w:val="20"/>
          <w:szCs w:val="20"/>
          <w:color w:val="auto"/>
        </w:rPr>
      </w:pPr>
      <w:r>
        <w:rPr>
          <w:rFonts w:ascii="Arial" w:cs="Arial" w:eastAsia="Arial" w:hAnsi="Arial"/>
          <w:sz w:val="18"/>
          <w:szCs w:val="18"/>
          <w:color w:val="auto"/>
        </w:rPr>
        <w:t>price of our ADSs to decline. Upon completion of this offering, we will have ordinary shares issued and outstanding, including Class A ordinary shares represented by ADSs, assuming the underwriters do not exercise their over-allotment option. All ADSs sold in this offering will be freely transferable without restriction or additional registration under the United States Securities Act of 1933, as amended, or the Securities Act. The remaining ordinary shares issued and outstanding after this offering will be available for sale, upon the expiration of the 180-day lock-up period beginning from the date of this prospectus, subject to volume and other restrictions as applicable under Rules 144 and 701 under the Securities Act. Any or all of these shares may 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208"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After completion of this offering, certain holders of our Class A ordinary shares may cause us to register under the Securities Act the sale of their shares, subject to the 180-day lock-up period in connection with this offering.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288"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the same rights as our shareholders.</w:t>
      </w:r>
    </w:p>
    <w:p>
      <w:pPr>
        <w:spacing w:after="0" w:line="6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Class A ordinary shares underlying your ADSs in accordance with your instructions.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withdraw the shares underlying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cannot assure you that you will receive the voting materials in time to</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 In addition, in your capacity as an ADS holder, you will not be able to call a shareholders’ meeting.</w:t>
      </w:r>
    </w:p>
    <w:p>
      <w:pPr>
        <w:spacing w:after="0" w:line="202"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Under the deposit agreement for the ADSs, if you do not vote, the depositary will give us a discretionary proxy to vote the Class A ordinary shares underlying your ADSs at shareholders’ meetings unless:</w:t>
      </w:r>
    </w:p>
    <w:p>
      <w:pPr>
        <w:spacing w:after="0" w:line="102"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1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effect of this discretionary proxy is that you cannot prevent the Class A ordinary shares underlying your ADSs from being voted, except under the circumstances described above. This may make it more difficult for ADS holders to influence the management of our company. Holders of our Class A ordinary shares are not subject to this discretionary proxy.</w:t>
      </w:r>
    </w:p>
    <w:p>
      <w:pPr>
        <w:spacing w:after="0" w:line="289"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b w:val="1"/>
          <w:bCs w:val="1"/>
          <w:i w:val="1"/>
          <w:iCs w:val="1"/>
          <w:color w:val="auto"/>
        </w:rPr>
        <w:t>Forum selection provisions in our post-offering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spacing w:after="0" w:line="8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under the Securities Act and the Exchange Act. Our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for the resolution of any complaint asserting a cause of action arising under the Securities Act or the Exchange Act.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post-offering memorandum and articles of association or our deposit agreement with the depositary bank to be inapplicable or unenforceable in an action, we may incur additional costs associated with resolving such action in other jurisdictions. If upheld, the forum selection clause in our post-offering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the rules and regulations thereunder. You may not waive compliance with federal securities laws and the rules and regulations thereunder. The exclusive forum provision in our post-offering memorandum and articles of association will not operate so as to deprive the courts of the Cayman Islands from having jurisdiction over matters relating to our internal affairs.</w:t>
      </w:r>
    </w:p>
    <w:p>
      <w:pPr>
        <w:spacing w:after="0" w:line="28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68"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charges in connection with foreign exchange control regulations, and taxes and other governmental charges, delivery and other such expenses) or that would otherwise materially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ordinary shares, but will have no right to any compensation whatsoever.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you, as a holder of the ADSs, will have irrevocably waived any objection which you may have to the laying of venue of any such proceeding, and irrevocably submitted to the exclusive jurisdiction of such courts in any such action or proceeding. It is possible that a court could find this type of forum selection provision to be inapplicable, unenforceable, or inconsistent with other documents that are relevant to the filing of such lawsuits. For risks related to the enforceability of such exclusive forum selection provision, please see “—Forum selection provisions in our post-offering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 Accepting or consent to this forum selection provision does not constitute a waiver by you of compliance with federal securities laws and the rules and regulations thereunder. You may not waive compliance with federal securities laws and the rules and regulations thereunder.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depositary of our ADSs has agreed to pay you the cash dividends or other distributions it or the custodian receives on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290"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6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deposit agreement governing the ADSs representing our Class A ordinary shares provides that, the United States District Court for the Southern District of New York (or, if the United States District Court for the Southern District of New York lacks subject matter jurisdiction over a particular dispute, in the state courts in New York County, New York) have exclusive jurisdiction to hear and determine claims arising under the deposit agreement (including claims arising under the Exchange Act or the Securities Act)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which may have the effect of limiting and discouraging lawsuits against us and/or the depositary. If a lawsuit is brought against us and/or the depositary under the deposit agreement, it may be heard only by a judge or justice of the applicable trial court, in which the trial would be conducted according to different civil procedures and may result in different outcomes than a trial by jury would have had, including results that could be less favorable to the plaintiff(s) in any such action. Also, we may amend or terminate the deposit agreement without your consent. If you continue to hold your ADSs after an amendment to the deposit agreement, you agree to be bound by the deposit agreement as amended.</w:t>
      </w:r>
    </w:p>
    <w:p>
      <w:pPr>
        <w:spacing w:after="0" w:line="20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208"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89"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8"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are an exempted company incorporated under the laws of the Cayman Islands with limited liability. Our corporate affairs are governed by our memorandum and articles of association, the Companies Act (As Revised) of the Cayman Islands, which we refer to as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205"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Our directors have discretion under our post-offering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Share Capital—Differences in Corporate Law.”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294"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68" w:lineRule="exact"/>
        <w:rPr>
          <w:sz w:val="20"/>
          <w:szCs w:val="20"/>
          <w:color w:val="auto"/>
        </w:rPr>
      </w:pPr>
    </w:p>
    <w:p>
      <w:pPr>
        <w:ind w:left="120" w:right="160" w:firstLine="551"/>
        <w:spacing w:after="0" w:line="236" w:lineRule="auto"/>
        <w:rPr>
          <w:sz w:val="20"/>
          <w:szCs w:val="20"/>
          <w:color w:val="auto"/>
        </w:rPr>
      </w:pPr>
      <w:r>
        <w:rPr>
          <w:rFonts w:ascii="Arial" w:cs="Arial" w:eastAsia="Arial" w:hAnsi="Arial"/>
          <w:sz w:val="18"/>
          <w:szCs w:val="18"/>
          <w:color w:val="auto"/>
        </w:rPr>
        <w:t>We are an exempted company incorporated under the laws of the Cayman Islands, however, we conduct almost all of our operations outside the United States and a majority of our assets are located in China. In addition, almost all our directors and officers reside within China for a significant portion of the time and almost all of them are PRC nationals. As a result, it may be difficult for you to effect service of process upon us or our management residing in China in the event that you believe that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In addition, China does not have treaties providing for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may be difficult for overseas regulators to conduct investigation or collect evidence within China.</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See also “—Risks Related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results of operations or increase our ADS price, nor that these net proceeds will be placed only in investments that generate income or appreciate in value.</w:t>
      </w:r>
    </w:p>
    <w:p>
      <w:pPr>
        <w:spacing w:after="0" w:line="29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The post-offering memorandum and articles of association that will become effective immediately prior to the completion of this offering will contain anti-takeover provisions that could discourage a third party from acquiring us and adversely affect the rights of holders of our Class A ordinary shares and the ADSs.</w:t>
      </w:r>
    </w:p>
    <w:p>
      <w:pPr>
        <w:spacing w:after="0" w:line="8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will adopt a further amended and restated memorandum and articles of association that will become effective immediately prior to the completion of this offering, which we refer to as our post-offering memorandum and articles of association. Our post-offering memorandum and articles of association will contain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proposed triple-class voting structure gives disproportionate voting power to the Class B and Class C ordinary shares.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89"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8"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02" w:lineRule="exact"/>
        <w:rPr>
          <w:sz w:val="20"/>
          <w:szCs w:val="20"/>
          <w:color w:val="auto"/>
        </w:rPr>
      </w:pPr>
    </w:p>
    <w:p>
      <w:pPr>
        <w:ind w:left="880" w:right="12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or current reports on Form 8-K;</w:t>
      </w:r>
    </w:p>
    <w:p>
      <w:pPr>
        <w:spacing w:after="0" w:line="102" w:lineRule="exact"/>
        <w:rPr>
          <w:rFonts w:ascii="Arial" w:cs="Arial" w:eastAsia="Arial" w:hAnsi="Arial"/>
          <w:sz w:val="18"/>
          <w:szCs w:val="18"/>
          <w:color w:val="auto"/>
        </w:rPr>
      </w:pPr>
    </w:p>
    <w:p>
      <w:pPr>
        <w:ind w:left="880" w:right="64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 promulgated by SEC.</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91"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corporate governance requirements of the New York Stock Exchange; these practices may afford less protection to shareholders than they would enjoy if we complied fully with the corporate governance requirements of the New York Stock Exchange.</w:t>
      </w:r>
    </w:p>
    <w:p>
      <w:pPr>
        <w:spacing w:after="0" w:line="8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a Cayman Islands company listed on the New York Stock Exchange, we are subject to the corporate governance listing standards of the New York Stock Exchange. However, rules of the New York Stock Exchange rules permit a foreign private issuer like us to follow the corporate governance practices of its home country. Certain corporate governance practices in the Cayman Islands, which is our home country, may differ significantly from the corporate governance listing standards of the New York Stock Exchange. If we choose to follow home country practices in the future, our shareholders may be afforded less protection than they would otherwise enjoy under the corporate governance listing standards of the New York Stock Exchange that are applicable to U.S. domestic issuers.</w:t>
      </w:r>
    </w:p>
    <w:p>
      <w:pPr>
        <w:spacing w:after="0" w:line="29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Class A ordinary shares.</w:t>
      </w:r>
    </w:p>
    <w:p>
      <w:pPr>
        <w:spacing w:after="0" w:line="8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Although the law in this regard is not entirely clear, we treat our VIEs and their subsidiaries as being owned by us for U.S. federal income tax purposes because we control their management decisions and are entitled to substantially all of the economic benefits associated with them. As a result, we consolidate their results of operations in our consolidated U.S. GAAP financial statements. If it were determined, however, that we are not the owner of our VIEs and their subsidiaries for U.S. federal income tax purposes, we may be treated as a PFIC for the current taxable year and any future taxable year. Assuming that we are the owner of our VIEs and their subsidiaries for U.S. federal income tax purposes, and, based upon our current and projected income and assets, including the expected cash proceeds from this offering, and projections as to the value of our assets, taking into account the projected market value of our ADSs following this offering, we do not presently expect to be a PFIC for the current taxable year or the foreseeable future.</w:t>
      </w:r>
    </w:p>
    <w:p>
      <w:pPr>
        <w:spacing w:after="0" w:line="204"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 of our ADSs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including cash raised in this offering.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If we are classified as a PFIC for any taxable year during which a U.S. Holder (as defined in “Taxation—United States Federal Income Tax Considerations”) holds our ADSs or Class A ordinary shares, the PFIC tax rules discussed under “Taxation—United States Federal Income Tax Considerations—Passive Foreign Investment Company Rules” will generally apply to such U.S. Holder for such taxable year and, unless the U.S. Holder makes a “mark-to-market” election, will apply in future years even if we cease to be a PFIC. See the discussion under “Taxation—United States Federal Income Tax Considerations—Passive Foreign Investment Company Rules” concerning the U.S. federal income tax considerations of an investment in our ADSs or Class A ordinary shares if we are or become classified as a PFIC and the possibility of making such election.</w:t>
      </w:r>
    </w:p>
    <w:p>
      <w:pPr>
        <w:spacing w:after="0" w:line="289"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may take advantage of certain reduced reporting requirements.</w:t>
      </w:r>
    </w:p>
    <w:p>
      <w:pPr>
        <w:spacing w:after="0" w:line="68"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As a company with less than US$1.07 billion in revenues for our last fiscal year, we qualify as an “emerging growth company” pursuant to the JOBS Act. Therefore, we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and permission to delay adopting new or revised accounting standards until such time as those standards apply to private companies. As a result, if we elect not to comply with such reporting and other requirements, in particular the auditor attestation requirements, our investors may not have access to certain information they may deem important.</w:t>
      </w:r>
    </w:p>
    <w:p>
      <w:pPr>
        <w:spacing w:after="0" w:line="203" w:lineRule="exact"/>
        <w:rPr>
          <w:sz w:val="20"/>
          <w:szCs w:val="20"/>
          <w:color w:val="auto"/>
        </w:rPr>
      </w:pPr>
    </w:p>
    <w:p>
      <w:pPr>
        <w:ind w:left="120" w:right="500" w:firstLine="551"/>
        <w:spacing w:after="0" w:line="238" w:lineRule="auto"/>
        <w:rPr>
          <w:sz w:val="20"/>
          <w:szCs w:val="20"/>
          <w:color w:val="auto"/>
        </w:rPr>
      </w:pPr>
      <w:r>
        <w:rPr>
          <w:rFonts w:ascii="Arial" w:cs="Arial" w:eastAsia="Arial" w:hAnsi="Arial"/>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 As a result of this election, our financial statements may not be comparable to companies that comply with public company effective dates.</w:t>
      </w:r>
    </w:p>
    <w:p>
      <w:pPr>
        <w:spacing w:after="0" w:line="29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We will incur increased costs and become subject to additional rules and regulations as a result of being a public company, particularly after we cease to qualify as an “emerging growth company.”</w:t>
      </w:r>
    </w:p>
    <w:p>
      <w:pPr>
        <w:spacing w:after="0" w:line="6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Securities and Exchange Commission, or the SEC, the New York Stock Exchange,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202"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number of additional costs we may incur or the timing of such costs.</w:t>
      </w:r>
    </w:p>
    <w:p>
      <w:pPr>
        <w:spacing w:after="0" w:line="208"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In the past, shareholders of a public company often brought securities class action suits against the company following periods of instability in the market price of that company’s securities. If we were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to be involved in a class action suit, it would possibly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and adverse effect on our financial condition and results of operations.</w:t>
      </w:r>
    </w:p>
    <w:p>
      <w:pPr>
        <w:spacing w:after="0" w:line="2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In addition, as an emerging growth company, we will still incur expenses in relation to management assessment according to requirements of Section 404(a) of the Sarbanes-Oxley Act of 2002. After we are no longer an “emerging growth company,” we expect to incur additional significant expenses and devote substantial management effort toward ensuring compliance with the requirements of Section 404(b) of the Sarbanes-Oxley Act of 2002 and the other rules and regulations of the SEC.</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320" w:top="459" w:right="5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202" w:lineRule="exact"/>
        <w:rPr>
          <w:sz w:val="20"/>
          <w:szCs w:val="20"/>
          <w:color w:val="auto"/>
        </w:rPr>
      </w:pPr>
    </w:p>
    <w:p>
      <w:pPr>
        <w:ind w:left="120" w:right="200" w:firstLine="551"/>
        <w:spacing w:after="0" w:line="257" w:lineRule="auto"/>
        <w:rPr>
          <w:sz w:val="20"/>
          <w:szCs w:val="20"/>
          <w:color w:val="auto"/>
        </w:rPr>
      </w:pPr>
      <w:r>
        <w:rPr>
          <w:rFonts w:ascii="Arial" w:cs="Arial" w:eastAsia="Arial" w:hAnsi="Arial"/>
          <w:sz w:val="17"/>
          <w:szCs w:val="17"/>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4"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mission, goals and strategies;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conditions and results of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expected growth of the pre-owned consumer electronics transactions and services market;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demand for our products and services;</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our relationships with our consumers, third-party merchants, business partners, and other third parties;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proposed use of proceeds;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business;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economic and business conditions globally and in China.</w:t>
      </w:r>
    </w:p>
    <w:p>
      <w:pPr>
        <w:spacing w:after="0" w:line="21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Summary—Our Challenges,”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This prospectus contains certain data and information that we obtained from various government and private publications. Statistical data in these publications also include projections based on a number of assumptions. The pre-owned consumer electronics market may not grow at the rate projected by market data, or at all. Failure of this market to grow at the projected rate may have a material and adverse effect on our business and the market price of the ADSs. In addition, the rapidly evolving nature of this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9" w:right="49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7780" w:type="dxa"/>
            <w:vAlign w:val="bottom"/>
            <w:gridSpan w:val="2"/>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Table of Contents</w:t>
              </w:r>
            </w:hyperlink>
          </w:p>
        </w:tc>
        <w:tc>
          <w:tcPr>
            <w:tcW w:w="2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420" w:type="dxa"/>
            <w:vAlign w:val="bottom"/>
          </w:tcPr>
          <w:p>
            <w:pPr>
              <w:ind w:left="3400"/>
              <w:spacing w:after="0"/>
              <w:rPr>
                <w:sz w:val="20"/>
                <w:szCs w:val="20"/>
                <w:color w:val="auto"/>
              </w:rPr>
            </w:pPr>
            <w:r>
              <w:rPr>
                <w:rFonts w:ascii="Arial" w:cs="Arial" w:eastAsia="Arial" w:hAnsi="Arial"/>
                <w:sz w:val="18"/>
                <w:szCs w:val="18"/>
                <w:b w:val="1"/>
                <w:bCs w:val="1"/>
                <w:color w:val="auto"/>
              </w:rPr>
              <w:t>USE OF PROCEEDS</w:t>
            </w:r>
          </w:p>
        </w:tc>
        <w:tc>
          <w:tcPr>
            <w:tcW w:w="2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04"/>
        </w:trPr>
        <w:tc>
          <w:tcPr>
            <w:tcW w:w="7780" w:type="dxa"/>
            <w:vAlign w:val="bottom"/>
            <w:gridSpan w:val="2"/>
          </w:tcPr>
          <w:p>
            <w:pPr>
              <w:ind w:left="660"/>
              <w:spacing w:after="0"/>
              <w:rPr>
                <w:sz w:val="20"/>
                <w:szCs w:val="20"/>
                <w:color w:val="auto"/>
              </w:rPr>
            </w:pPr>
            <w:r>
              <w:rPr>
                <w:rFonts w:ascii="Arial" w:cs="Arial" w:eastAsia="Arial" w:hAnsi="Arial"/>
                <w:sz w:val="18"/>
                <w:szCs w:val="18"/>
                <w:color w:val="auto"/>
              </w:rPr>
              <w:t>We estimate that we will receive net proceeds from this offering of approximately US$</w:t>
            </w:r>
          </w:p>
        </w:tc>
        <w:tc>
          <w:tcPr>
            <w:tcW w:w="2420" w:type="dxa"/>
            <w:vAlign w:val="bottom"/>
          </w:tcPr>
          <w:p>
            <w:pPr>
              <w:ind w:left="300"/>
              <w:spacing w:after="0"/>
              <w:rPr>
                <w:sz w:val="20"/>
                <w:szCs w:val="20"/>
                <w:color w:val="auto"/>
              </w:rPr>
            </w:pPr>
            <w:r>
              <w:rPr>
                <w:rFonts w:ascii="Arial" w:cs="Arial" w:eastAsia="Arial" w:hAnsi="Arial"/>
                <w:sz w:val="18"/>
                <w:szCs w:val="18"/>
                <w:color w:val="auto"/>
              </w:rPr>
              <w:t>, or approximately US$</w:t>
            </w:r>
          </w:p>
        </w:tc>
        <w:tc>
          <w:tcPr>
            <w:tcW w:w="700" w:type="dxa"/>
            <w:vAlign w:val="bottom"/>
          </w:tcPr>
          <w:p>
            <w:pPr>
              <w:ind w:left="300"/>
              <w:spacing w:after="0"/>
              <w:rPr>
                <w:sz w:val="20"/>
                <w:szCs w:val="20"/>
                <w:color w:val="auto"/>
              </w:rPr>
            </w:pPr>
            <w:r>
              <w:rPr>
                <w:rFonts w:ascii="Arial" w:cs="Arial" w:eastAsia="Arial" w:hAnsi="Arial"/>
                <w:sz w:val="18"/>
                <w:szCs w:val="18"/>
                <w:color w:val="auto"/>
                <w:w w:val="97"/>
              </w:rPr>
              <w:t>if the</w:t>
            </w:r>
          </w:p>
        </w:tc>
      </w:tr>
    </w:tbl>
    <w:p>
      <w:pPr>
        <w:ind w:left="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exercise their over-allotment option in full, after deducting underwriting discounts and commissions and the estimated offering</w:t>
      </w:r>
    </w:p>
    <w:p>
      <w:pPr>
        <w:spacing w:after="0" w:line="7" w:lineRule="exact"/>
        <w:rPr>
          <w:sz w:val="20"/>
          <w:szCs w:val="20"/>
          <w:color w:val="auto"/>
        </w:rPr>
      </w:pPr>
    </w:p>
    <w:p>
      <w:pPr>
        <w:ind w:left="120" w:right="340"/>
        <w:spacing w:after="0" w:line="234" w:lineRule="auto"/>
        <w:rPr>
          <w:sz w:val="20"/>
          <w:szCs w:val="20"/>
          <w:color w:val="auto"/>
        </w:rPr>
      </w:pPr>
      <w:r>
        <w:rPr>
          <w:rFonts w:ascii="Arial" w:cs="Arial" w:eastAsia="Arial" w:hAnsi="Arial"/>
          <w:sz w:val="18"/>
          <w:szCs w:val="18"/>
          <w:color w:val="auto"/>
        </w:rPr>
        <w:t>expenses payable by us. These estimates are based upon an assumed initial public offering price of US$ per ADS, which is the midpoint of the price range shown on the front page of this prospectus. A US$1.00 increase (decrease) in the assumed initial public</w:t>
      </w:r>
    </w:p>
    <w:p>
      <w:pPr>
        <w:spacing w:after="0" w:line="1"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offering price of US$ per ADS would increase (decrease) the net proceeds to us from this offering by US$ , assuming the number of ADSs offered by us, as set forth on the front cover of this prospectus, remains the same and after deducting the estimated underwriting discounts and commissions and estimated expenses payable by us.</w:t>
      </w:r>
    </w:p>
    <w:p>
      <w:pPr>
        <w:spacing w:after="0" w:line="203"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to expand our business operations as follows:</w:t>
      </w:r>
    </w:p>
    <w:p>
      <w:pPr>
        <w:spacing w:after="0" w:line="108"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20% to further improve our technology capabilities;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30% to diversify service offerings on our platform;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30% to further expand our AHS store network and develop new sales channels for Paipai Marketplace; and</w:t>
      </w:r>
    </w:p>
    <w:p>
      <w:pPr>
        <w:spacing w:after="0" w:line="117" w:lineRule="exact"/>
        <w:rPr>
          <w:rFonts w:ascii="Arial" w:cs="Arial" w:eastAsia="Arial" w:hAnsi="Arial"/>
          <w:sz w:val="18"/>
          <w:szCs w:val="18"/>
          <w:color w:val="auto"/>
        </w:rPr>
      </w:pPr>
    </w:p>
    <w:p>
      <w:pPr>
        <w:ind w:left="880" w:right="24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20% for general corporate purposes, which may include investing in sales and marketing activities, and funding working capital needs and potential strategic investments and acquisitions. As of the date of this prospectus, we have not identified any specific targets for any acquisition of assets or businesses.</w:t>
      </w:r>
    </w:p>
    <w:p>
      <w:pPr>
        <w:spacing w:after="0" w:line="20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Factors—Risks Related to the ADSs and This Offering—We have not determined a specific use for a portion of the net proceeds from this offering and we may use these proceeds in ways with which you may not agree.”</w:t>
      </w:r>
    </w:p>
    <w:p>
      <w:pPr>
        <w:spacing w:after="0" w:line="202"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Pending any use described above, we plan to invest the net proceeds in short-term, interest-bearing, debt instruments or demand deposits.</w:t>
      </w:r>
    </w:p>
    <w:p>
      <w:pPr>
        <w:spacing w:after="0" w:line="197"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7"/>
          <w:szCs w:val="17"/>
          <w:color w:val="auto"/>
        </w:rPr>
        <w:t>In using the proceeds of this offering, we are permitted under PRC laws and regulations as an offshore holding company to provide funding to our PRC subsidiaries only through loans or capital contributions and to our VIEs only through loans, subject to satisfaction of applicable government registration and approval requirements. We cannot assure you that we will be able to obtain these government registrations or approvals on a timely basis, or at all. See “Risk Factors—Risks Related to Doing Business in China—PRC regulation of loans to and direct investment in PRC entities by offshore holding companies and governmental control of currency conversion may delay or prevent us from using the proceeds of this offering to make loans or additional capital contributions to our PRC subsidiaries and our VIEs in China, which could materially and adversely affect our liquidity and our ability to fund and expand our business.”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46"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20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97"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“Regulation—Regulations Relating to Dividend Distribution.”</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capitalization as of March 31, 2021:</w:t>
      </w:r>
    </w:p>
    <w:p>
      <w:pPr>
        <w:spacing w:after="0" w:line="117"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right="100" w:hanging="224"/>
        <w:spacing w:after="0" w:line="23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 pro forma basis to reflect (i) the issuance of Series F and other series of preferred shares in April and May 2021 (see “Description of Share Capital—History of Securities Issuances”), (ii) the redesignation of all of the ordinary shares held by C&amp;XF Group Limited into Class C ordinary shares on a one-for-one basis immediately prior to the completion of this offering, (iii) the redesignation of all of the ordinary shares and preferred shares held by JD.com Development Limited into Class B ordinary shares on a one-for-one basis immediately prior to the completion of this offering, (iv) the redesignation of all of the remaining ordinary shares into Class A ordinary shares on a one-for-one basis immediately prior to the completion of this offering, and (v) the automatic conversion of all of our remaining issued and outstanding preferred shares into Class A ordinary shares on a one-for-one basis immediately prior to the completion of this offering; and</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 pro forma as adjusted basis to reflect (i) the issuance of Series F and other series of preferred shares in April and May 2021</w:t>
      </w:r>
    </w:p>
    <w:p>
      <w:pPr>
        <w:ind w:left="880" w:right="220"/>
        <w:spacing w:after="0" w:line="248" w:lineRule="auto"/>
        <w:rPr>
          <w:sz w:val="20"/>
          <w:szCs w:val="20"/>
          <w:color w:val="auto"/>
        </w:rPr>
      </w:pPr>
      <w:r>
        <w:rPr>
          <w:rFonts w:ascii="Arial" w:cs="Arial" w:eastAsia="Arial" w:hAnsi="Arial"/>
          <w:sz w:val="17"/>
          <w:szCs w:val="17"/>
          <w:color w:val="auto"/>
        </w:rPr>
        <w:t>(see “Description of Share Capital—History of Securities Issuances”), (ii) the redesignation of all of the ordinary shares held by C&amp;XF Group Limited into Class C ordinary shares on a one-for-one basis immediately prior to the completion of this offering,</w:t>
      </w:r>
    </w:p>
    <w:p>
      <w:pPr>
        <w:spacing w:after="0" w:line="1" w:lineRule="exact"/>
        <w:rPr>
          <w:sz w:val="20"/>
          <w:szCs w:val="20"/>
          <w:color w:val="auto"/>
        </w:rPr>
      </w:pPr>
    </w:p>
    <w:p>
      <w:pPr>
        <w:ind w:left="880" w:right="440" w:hanging="8"/>
        <w:spacing w:after="0" w:line="248" w:lineRule="auto"/>
        <w:tabs>
          <w:tab w:leader="none" w:pos="117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redesignation of all of the ordinary shares and preferred shares held by JD.com Development Limited into Class B ordinary shares on a one-for-one basis immediately prior to the completion of this offering, (iv) the redesignation of all of the remaining ordinary shares into Class A ordinary shares on a one-for-one basis immediately prior to the completion of this</w:t>
      </w:r>
    </w:p>
    <w:p>
      <w:pPr>
        <w:spacing w:after="0" w:line="1"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8"/>
          <w:szCs w:val="18"/>
          <w:color w:val="auto"/>
        </w:rPr>
        <w:t>offering, (v) the automatic conversion of all of our remaining issued and outstanding preferred shares into Class A ordinary</w:t>
      </w:r>
    </w:p>
    <w:p>
      <w:pPr>
        <w:spacing w:after="0" w:line="204" w:lineRule="exact"/>
        <w:rPr>
          <w:sz w:val="20"/>
          <w:szCs w:val="20"/>
          <w:color w:val="auto"/>
        </w:rPr>
      </w:pPr>
    </w:p>
    <w:p>
      <w:pPr>
        <w:ind w:left="880" w:right="260"/>
        <w:spacing w:after="0" w:line="234" w:lineRule="auto"/>
        <w:rPr>
          <w:sz w:val="20"/>
          <w:szCs w:val="20"/>
          <w:color w:val="auto"/>
        </w:rPr>
      </w:pPr>
      <w:r>
        <w:rPr>
          <w:rFonts w:ascii="Arial" w:cs="Arial" w:eastAsia="Arial" w:hAnsi="Arial"/>
          <w:sz w:val="18"/>
          <w:szCs w:val="18"/>
          <w:color w:val="auto"/>
        </w:rPr>
        <w:t>shares on a one-for-one basis immediately prior to the completion of this offering, and (vi) the sale of Class A ordinary shares in the form of ADSs by us in this offering at an assumed initial public offering price of US$ per ADS, which is the</w:t>
      </w:r>
    </w:p>
    <w:p>
      <w:pPr>
        <w:spacing w:after="0" w:line="1" w:lineRule="exact"/>
        <w:rPr>
          <w:sz w:val="20"/>
          <w:szCs w:val="20"/>
          <w:color w:val="auto"/>
        </w:rPr>
      </w:pPr>
    </w:p>
    <w:p>
      <w:pPr>
        <w:ind w:left="880" w:right="100"/>
        <w:spacing w:after="0"/>
        <w:rPr>
          <w:sz w:val="20"/>
          <w:szCs w:val="20"/>
          <w:color w:val="auto"/>
        </w:rPr>
      </w:pPr>
      <w:r>
        <w:rPr>
          <w:rFonts w:ascii="Arial" w:cs="Arial" w:eastAsia="Arial" w:hAnsi="Arial"/>
          <w:sz w:val="18"/>
          <w:szCs w:val="18"/>
          <w:color w:val="auto"/>
        </w:rPr>
        <w:t>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w:t>
      </w:r>
    </w:p>
    <w:p>
      <w:pPr>
        <w:spacing w:after="0" w:line="203" w:lineRule="exact"/>
        <w:rPr>
          <w:sz w:val="20"/>
          <w:szCs w:val="20"/>
          <w:color w:val="auto"/>
        </w:rPr>
      </w:pPr>
    </w:p>
    <w:p>
      <w:pPr>
        <w:ind w:left="120" w:right="460" w:firstLine="551"/>
        <w:spacing w:after="0" w:line="274" w:lineRule="auto"/>
        <w:rPr>
          <w:sz w:val="20"/>
          <w:szCs w:val="20"/>
          <w:color w:val="auto"/>
        </w:rPr>
      </w:pPr>
      <w:r>
        <w:rPr>
          <w:rFonts w:ascii="Arial" w:cs="Arial" w:eastAsia="Arial" w:hAnsi="Arial"/>
          <w:sz w:val="17"/>
          <w:szCs w:val="17"/>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rPr>
              <w:t>As of March 31, 2021</w:t>
            </w:r>
          </w:p>
        </w:tc>
        <w:tc>
          <w:tcPr>
            <w:tcW w:w="7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5600" w:type="dxa"/>
            <w:vAlign w:val="bottom"/>
          </w:tcPr>
          <w:p>
            <w:pPr>
              <w:spacing w:after="0"/>
              <w:rPr>
                <w:sz w:val="13"/>
                <w:szCs w:val="13"/>
                <w:color w:val="auto"/>
              </w:rPr>
            </w:pPr>
          </w:p>
        </w:tc>
        <w:tc>
          <w:tcPr>
            <w:tcW w:w="1120" w:type="dxa"/>
            <w:vAlign w:val="bottom"/>
            <w:tcBorders>
              <w:bottom w:val="single" w:sz="8" w:color="auto"/>
            </w:tcBorders>
            <w:gridSpan w:val="3"/>
          </w:tcPr>
          <w:p>
            <w:pPr>
              <w:ind w:left="620"/>
              <w:spacing w:after="0" w:line="155" w:lineRule="exact"/>
              <w:rPr>
                <w:sz w:val="20"/>
                <w:szCs w:val="20"/>
                <w:color w:val="auto"/>
              </w:rPr>
            </w:pPr>
            <w:r>
              <w:rPr>
                <w:rFonts w:ascii="Arial" w:cs="Arial" w:eastAsia="Arial" w:hAnsi="Arial"/>
                <w:sz w:val="14"/>
                <w:szCs w:val="14"/>
                <w:b w:val="1"/>
                <w:bCs w:val="1"/>
                <w:color w:val="auto"/>
              </w:rPr>
              <w:t>Actual</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ind w:left="120"/>
              <w:spacing w:after="0" w:line="155" w:lineRule="exact"/>
              <w:rPr>
                <w:sz w:val="20"/>
                <w:szCs w:val="20"/>
                <w:color w:val="auto"/>
              </w:rPr>
            </w:pPr>
            <w:r>
              <w:rPr>
                <w:rFonts w:ascii="Arial" w:cs="Arial" w:eastAsia="Arial" w:hAnsi="Arial"/>
                <w:sz w:val="14"/>
                <w:szCs w:val="14"/>
                <w:b w:val="1"/>
                <w:bCs w:val="1"/>
                <w:color w:val="auto"/>
              </w:rPr>
              <w:t>Pro Forma</w:t>
            </w:r>
          </w:p>
        </w:tc>
        <w:tc>
          <w:tcPr>
            <w:tcW w:w="1960" w:type="dxa"/>
            <w:vAlign w:val="bottom"/>
            <w:tcBorders>
              <w:bottom w:val="single" w:sz="8" w:color="auto"/>
            </w:tcBorders>
            <w:gridSpan w:val="3"/>
          </w:tcPr>
          <w:p>
            <w:pPr>
              <w:spacing w:after="0" w:line="156" w:lineRule="exact"/>
              <w:rPr>
                <w:sz w:val="20"/>
                <w:szCs w:val="20"/>
                <w:color w:val="auto"/>
              </w:rPr>
            </w:pPr>
            <w:r>
              <w:rPr>
                <w:rFonts w:ascii="Arial" w:cs="Arial" w:eastAsia="Arial" w:hAnsi="Arial"/>
                <w:sz w:val="11"/>
                <w:szCs w:val="11"/>
                <w:b w:val="1"/>
                <w:bCs w:val="1"/>
                <w:color w:val="auto"/>
              </w:rPr>
              <w:t>Pro Forma As Adjusted</w:t>
            </w:r>
            <w:r>
              <w:rPr>
                <w:rFonts w:ascii="Arial" w:cs="Arial" w:eastAsia="Arial" w:hAnsi="Arial"/>
                <w:sz w:val="18"/>
                <w:szCs w:val="18"/>
                <w:b w:val="1"/>
                <w:bCs w:val="1"/>
                <w:color w:val="auto"/>
                <w:vertAlign w:val="superscript"/>
              </w:rPr>
              <w:t>(1)</w:t>
            </w:r>
          </w:p>
        </w:tc>
        <w:tc>
          <w:tcPr>
            <w:tcW w:w="60" w:type="dxa"/>
            <w:vAlign w:val="bottom"/>
          </w:tcPr>
          <w:p>
            <w:pPr>
              <w:spacing w:after="0"/>
              <w:rPr>
                <w:sz w:val="13"/>
                <w:szCs w:val="13"/>
                <w:color w:val="auto"/>
              </w:rPr>
            </w:pPr>
          </w:p>
        </w:tc>
      </w:tr>
      <w:tr>
        <w:trPr>
          <w:trHeight w:val="142"/>
        </w:trPr>
        <w:tc>
          <w:tcPr>
            <w:tcW w:w="5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5"/>
          </w:tcPr>
          <w:p>
            <w:pPr>
              <w:jc w:val="center"/>
              <w:spacing w:after="0" w:line="143"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5600" w:type="dxa"/>
            <w:vAlign w:val="bottom"/>
          </w:tcPr>
          <w:p>
            <w:pPr>
              <w:spacing w:after="0"/>
              <w:rPr>
                <w:sz w:val="15"/>
                <w:szCs w:val="15"/>
                <w:color w:val="auto"/>
              </w:rPr>
            </w:pP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rPr>
              <w:t>RMB</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US$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RMB</w:t>
            </w:r>
          </w:p>
        </w:tc>
        <w:tc>
          <w:tcPr>
            <w:tcW w:w="800" w:type="dxa"/>
            <w:vAlign w:val="bottom"/>
            <w:gridSpan w:val="3"/>
          </w:tcPr>
          <w:p>
            <w:pPr>
              <w:jc w:val="center"/>
              <w:ind w:right="44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w:t>
            </w: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r>
      <w:tr>
        <w:trPr>
          <w:trHeight w:val="142"/>
        </w:trPr>
        <w:tc>
          <w:tcPr>
            <w:tcW w:w="5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Mezzanine Equity:</w:t>
            </w: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67"/>
        </w:trPr>
        <w:tc>
          <w:tcPr>
            <w:tcW w:w="5600" w:type="dxa"/>
            <w:vAlign w:val="bottom"/>
          </w:tcPr>
          <w:p>
            <w:pPr>
              <w:spacing w:after="0"/>
              <w:rPr>
                <w:sz w:val="20"/>
                <w:szCs w:val="20"/>
                <w:color w:val="auto"/>
              </w:rPr>
            </w:pPr>
            <w:r>
              <w:rPr>
                <w:rFonts w:ascii="Arial" w:cs="Arial" w:eastAsia="Arial" w:hAnsi="Arial"/>
                <w:sz w:val="14"/>
                <w:szCs w:val="14"/>
                <w:color w:val="auto"/>
              </w:rPr>
              <w:t>Series A preferred shares (US$0.001 par value, 9,497,040 shares authorized,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5600" w:type="dxa"/>
            <w:vAlign w:val="bottom"/>
          </w:tcPr>
          <w:p>
            <w:pPr>
              <w:ind w:left="140"/>
              <w:spacing w:after="0" w:line="157" w:lineRule="exact"/>
              <w:rPr>
                <w:sz w:val="20"/>
                <w:szCs w:val="20"/>
                <w:color w:val="auto"/>
              </w:rPr>
            </w:pPr>
            <w:r>
              <w:rPr>
                <w:rFonts w:ascii="Arial" w:cs="Arial" w:eastAsia="Arial" w:hAnsi="Arial"/>
                <w:sz w:val="14"/>
                <w:szCs w:val="14"/>
                <w:color w:val="auto"/>
              </w:rPr>
              <w:t>issued and outstanding as of March 31, 2021)</w:t>
            </w:r>
          </w:p>
        </w:tc>
        <w:tc>
          <w:tcPr>
            <w:tcW w:w="106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467,173</w:t>
            </w:r>
          </w:p>
        </w:tc>
        <w:tc>
          <w:tcPr>
            <w:tcW w:w="60" w:type="dxa"/>
            <w:vAlign w:val="bottom"/>
          </w:tcPr>
          <w:p>
            <w:pPr>
              <w:spacing w:after="0"/>
              <w:rPr>
                <w:sz w:val="13"/>
                <w:szCs w:val="13"/>
                <w:color w:val="auto"/>
              </w:rPr>
            </w:pPr>
          </w:p>
        </w:tc>
        <w:tc>
          <w:tcPr>
            <w:tcW w:w="84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71,305</w:t>
            </w:r>
          </w:p>
        </w:tc>
        <w:tc>
          <w:tcPr>
            <w:tcW w:w="64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center"/>
              <w:ind w:right="420"/>
              <w:spacing w:after="0" w:line="157" w:lineRule="exact"/>
              <w:rPr>
                <w:sz w:val="20"/>
                <w:szCs w:val="20"/>
                <w:color w:val="auto"/>
              </w:rPr>
            </w:pPr>
            <w:r>
              <w:rPr>
                <w:rFonts w:ascii="Arial" w:cs="Arial" w:eastAsia="Arial" w:hAnsi="Arial"/>
                <w:sz w:val="14"/>
                <w:szCs w:val="14"/>
                <w:color w:val="auto"/>
                <w:w w:val="99"/>
              </w:rPr>
              <w:t>—</w:t>
            </w: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7"/>
        </w:trPr>
        <w:tc>
          <w:tcPr>
            <w:tcW w:w="5600" w:type="dxa"/>
            <w:vAlign w:val="bottom"/>
            <w:shd w:val="clear" w:color="auto" w:fill="CCEEFF"/>
          </w:tcPr>
          <w:p>
            <w:pPr>
              <w:spacing w:after="0"/>
              <w:rPr>
                <w:sz w:val="20"/>
                <w:szCs w:val="20"/>
                <w:color w:val="auto"/>
              </w:rPr>
            </w:pPr>
            <w:r>
              <w:rPr>
                <w:rFonts w:ascii="Arial" w:cs="Arial" w:eastAsia="Arial" w:hAnsi="Arial"/>
                <w:sz w:val="14"/>
                <w:szCs w:val="14"/>
                <w:color w:val="auto"/>
              </w:rPr>
              <w:t>Series B preferred shares (US$0.001 par value, 7,586,836 shares authorized,</w:t>
            </w: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7"/>
        </w:trPr>
        <w:tc>
          <w:tcPr>
            <w:tcW w:w="56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issued and outstanding as of March 31, 2021)</w:t>
            </w:r>
          </w:p>
        </w:tc>
        <w:tc>
          <w:tcPr>
            <w:tcW w:w="106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378,840</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60"/>
              <w:spacing w:after="0" w:line="157" w:lineRule="exact"/>
              <w:rPr>
                <w:sz w:val="20"/>
                <w:szCs w:val="20"/>
                <w:color w:val="auto"/>
              </w:rPr>
            </w:pPr>
            <w:r>
              <w:rPr>
                <w:rFonts w:ascii="Arial" w:cs="Arial" w:eastAsia="Arial" w:hAnsi="Arial"/>
                <w:sz w:val="14"/>
                <w:szCs w:val="14"/>
                <w:color w:val="auto"/>
              </w:rPr>
              <w:t>57,822</w:t>
            </w:r>
          </w:p>
        </w:tc>
        <w:tc>
          <w:tcPr>
            <w:tcW w:w="64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center"/>
              <w:ind w:right="420"/>
              <w:spacing w:after="0" w:line="157" w:lineRule="exact"/>
              <w:rPr>
                <w:sz w:val="20"/>
                <w:szCs w:val="20"/>
                <w:color w:val="auto"/>
              </w:rPr>
            </w:pPr>
            <w:r>
              <w:rPr>
                <w:rFonts w:ascii="Arial" w:cs="Arial" w:eastAsia="Arial" w:hAnsi="Arial"/>
                <w:sz w:val="14"/>
                <w:szCs w:val="14"/>
                <w:color w:val="auto"/>
                <w:w w:val="99"/>
              </w:rPr>
              <w:t>—</w:t>
            </w:r>
          </w:p>
        </w:tc>
        <w:tc>
          <w:tcPr>
            <w:tcW w:w="7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7"/>
        </w:trPr>
        <w:tc>
          <w:tcPr>
            <w:tcW w:w="5600" w:type="dxa"/>
            <w:vAlign w:val="bottom"/>
          </w:tcPr>
          <w:p>
            <w:pPr>
              <w:spacing w:after="0"/>
              <w:rPr>
                <w:sz w:val="20"/>
                <w:szCs w:val="20"/>
                <w:color w:val="auto"/>
              </w:rPr>
            </w:pPr>
            <w:r>
              <w:rPr>
                <w:rFonts w:ascii="Arial" w:cs="Arial" w:eastAsia="Arial" w:hAnsi="Arial"/>
                <w:sz w:val="14"/>
                <w:szCs w:val="14"/>
                <w:color w:val="auto"/>
              </w:rPr>
              <w:t>Series C preferred shares (US$0.001 par value, 44,226,287 shares authorized,</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2"/>
        </w:trPr>
        <w:tc>
          <w:tcPr>
            <w:tcW w:w="5600" w:type="dxa"/>
            <w:vAlign w:val="bottom"/>
          </w:tcPr>
          <w:p>
            <w:pPr>
              <w:ind w:left="140"/>
              <w:spacing w:after="0"/>
              <w:rPr>
                <w:sz w:val="20"/>
                <w:szCs w:val="20"/>
                <w:color w:val="auto"/>
              </w:rPr>
            </w:pPr>
            <w:r>
              <w:rPr>
                <w:rFonts w:ascii="Arial" w:cs="Arial" w:eastAsia="Arial" w:hAnsi="Arial"/>
                <w:sz w:val="14"/>
                <w:szCs w:val="14"/>
                <w:color w:val="auto"/>
              </w:rPr>
              <w:t>39,151,682 issued and outstanding as of March 31, 2021</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2,054,873</w:t>
            </w:r>
          </w:p>
        </w:tc>
        <w:tc>
          <w:tcPr>
            <w:tcW w:w="6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313,635</w:t>
            </w:r>
          </w:p>
        </w:tc>
        <w:tc>
          <w:tcPr>
            <w:tcW w:w="64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center"/>
              <w:ind w:right="420"/>
              <w:spacing w:after="0"/>
              <w:rPr>
                <w:sz w:val="20"/>
                <w:szCs w:val="20"/>
                <w:color w:val="auto"/>
              </w:rPr>
            </w:pPr>
            <w:r>
              <w:rPr>
                <w:rFonts w:ascii="Arial" w:cs="Arial" w:eastAsia="Arial" w:hAnsi="Arial"/>
                <w:sz w:val="14"/>
                <w:szCs w:val="14"/>
                <w:color w:val="auto"/>
                <w:w w:val="99"/>
              </w:rPr>
              <w:t>—</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right="420" w:hanging="143"/>
        <w:spacing w:after="0" w:line="241" w:lineRule="auto"/>
        <w:rPr>
          <w:sz w:val="20"/>
          <w:szCs w:val="20"/>
          <w:color w:val="auto"/>
        </w:rPr>
      </w:pPr>
      <w:r>
        <w:rPr>
          <w:rFonts w:ascii="Arial" w:cs="Arial" w:eastAsia="Arial" w:hAnsi="Arial"/>
          <w:sz w:val="14"/>
          <w:szCs w:val="14"/>
          <w:color w:val="auto"/>
        </w:rPr>
        <w:t>Series D preferred shares (US$0.001 par value, 10,068,160 shares authorized, issued and outstanding as of March 31, 2021)</w:t>
      </w:r>
    </w:p>
    <w:p>
      <w:pPr>
        <w:spacing w:after="0" w:line="1" w:lineRule="exact"/>
        <w:rPr>
          <w:sz w:val="20"/>
          <w:szCs w:val="20"/>
          <w:color w:val="auto"/>
        </w:rPr>
      </w:pPr>
    </w:p>
    <w:p>
      <w:pPr>
        <w:ind w:left="260" w:right="120" w:hanging="143"/>
        <w:spacing w:after="0" w:line="241" w:lineRule="auto"/>
        <w:rPr>
          <w:sz w:val="20"/>
          <w:szCs w:val="20"/>
          <w:color w:val="auto"/>
        </w:rPr>
      </w:pPr>
      <w:r>
        <w:rPr>
          <w:rFonts w:ascii="Arial" w:cs="Arial" w:eastAsia="Arial" w:hAnsi="Arial"/>
          <w:sz w:val="14"/>
          <w:szCs w:val="14"/>
          <w:color w:val="auto"/>
        </w:rPr>
        <w:t>Series E preferred shares (US$0.001 par value, 36,122,625 shares authorized, 34,628,761 issued and outstanding as of March 31, 2021)</w:t>
      </w:r>
    </w:p>
    <w:p>
      <w:pPr>
        <w:spacing w:after="0" w:line="1" w:lineRule="exact"/>
        <w:rPr>
          <w:sz w:val="20"/>
          <w:szCs w:val="20"/>
          <w:color w:val="auto"/>
        </w:rPr>
      </w:pPr>
    </w:p>
    <w:p>
      <w:pPr>
        <w:ind w:left="260" w:right="260" w:hanging="143"/>
        <w:spacing w:after="0" w:line="249" w:lineRule="auto"/>
        <w:rPr>
          <w:sz w:val="20"/>
          <w:szCs w:val="20"/>
          <w:color w:val="auto"/>
        </w:rPr>
      </w:pPr>
      <w:r>
        <w:rPr>
          <w:rFonts w:ascii="Arial" w:cs="Arial" w:eastAsia="Arial" w:hAnsi="Arial"/>
          <w:sz w:val="14"/>
          <w:szCs w:val="14"/>
          <w:color w:val="auto"/>
        </w:rPr>
        <w:t>Series F preferred shares (US$0.001 par value, nil shares authorized, issued and outstanding as of March 31, 2021)</w:t>
      </w:r>
    </w:p>
    <w:p>
      <w:pPr>
        <w:ind w:left="120"/>
        <w:spacing w:after="0"/>
        <w:rPr>
          <w:sz w:val="20"/>
          <w:szCs w:val="20"/>
          <w:color w:val="auto"/>
        </w:rPr>
      </w:pPr>
      <w:r>
        <w:rPr>
          <w:rFonts w:ascii="Arial" w:cs="Arial" w:eastAsia="Arial" w:hAnsi="Arial"/>
          <w:sz w:val="14"/>
          <w:szCs w:val="14"/>
          <w:b w:val="1"/>
          <w:bCs w:val="1"/>
          <w:color w:val="auto"/>
        </w:rPr>
        <w:t>Total mezzanine equity</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Shareholders’ equity/(deficit):</w:t>
      </w:r>
    </w:p>
    <w:p>
      <w:pPr>
        <w:spacing w:after="0" w:line="1" w:lineRule="exact"/>
        <w:rPr>
          <w:sz w:val="20"/>
          <w:szCs w:val="20"/>
          <w:color w:val="auto"/>
        </w:rPr>
      </w:pPr>
    </w:p>
    <w:p>
      <w:pPr>
        <w:ind w:left="260" w:right="220" w:hanging="143"/>
        <w:spacing w:after="0" w:line="241" w:lineRule="auto"/>
        <w:rPr>
          <w:sz w:val="20"/>
          <w:szCs w:val="20"/>
          <w:color w:val="auto"/>
        </w:rPr>
      </w:pPr>
      <w:r>
        <w:rPr>
          <w:rFonts w:ascii="Arial" w:cs="Arial" w:eastAsia="Arial" w:hAnsi="Arial"/>
          <w:sz w:val="14"/>
          <w:szCs w:val="14"/>
          <w:color w:val="auto"/>
        </w:rPr>
        <w:t>Ordinary shares (US$0.001 par value, 192,499,052 shares authorized, 18,782,620 shares issued and outstanding as of March 31, 2021)</w:t>
      </w:r>
    </w:p>
    <w:p>
      <w:pPr>
        <w:spacing w:after="0" w:line="1" w:lineRule="exact"/>
        <w:rPr>
          <w:sz w:val="20"/>
          <w:szCs w:val="20"/>
          <w:color w:val="auto"/>
        </w:rPr>
      </w:pPr>
    </w:p>
    <w:p>
      <w:pPr>
        <w:ind w:left="260" w:hanging="143"/>
        <w:spacing w:after="0" w:line="241" w:lineRule="auto"/>
        <w:rPr>
          <w:sz w:val="20"/>
          <w:szCs w:val="20"/>
          <w:color w:val="auto"/>
        </w:rPr>
      </w:pPr>
      <w:r>
        <w:rPr>
          <w:rFonts w:ascii="Arial" w:cs="Arial" w:eastAsia="Arial" w:hAnsi="Arial"/>
          <w:sz w:val="14"/>
          <w:szCs w:val="14"/>
          <w:color w:val="auto"/>
        </w:rPr>
        <w:t>Class A ordinary shares (US$0.001 par value; none issued or outstanding on an actual basis, 77,589,553 issued and outstanding on a pro forma</w:t>
      </w:r>
    </w:p>
    <w:p>
      <w:pPr>
        <w:spacing w:after="0" w:line="1" w:lineRule="exact"/>
        <w:rPr>
          <w:sz w:val="20"/>
          <w:szCs w:val="20"/>
          <w:color w:val="auto"/>
        </w:rPr>
      </w:pPr>
    </w:p>
    <w:p>
      <w:pPr>
        <w:ind w:left="260"/>
        <w:spacing w:after="0"/>
        <w:tabs>
          <w:tab w:leader="none" w:pos="1460" w:val="left"/>
        </w:tabs>
        <w:rPr>
          <w:sz w:val="20"/>
          <w:szCs w:val="20"/>
          <w:color w:val="auto"/>
        </w:rPr>
      </w:pPr>
      <w:r>
        <w:rPr>
          <w:rFonts w:ascii="Arial" w:cs="Arial" w:eastAsia="Arial" w:hAnsi="Arial"/>
          <w:sz w:val="14"/>
          <w:szCs w:val="14"/>
          <w:color w:val="auto"/>
        </w:rPr>
        <w:t>basis, and</w:t>
      </w:r>
      <w:r>
        <w:rPr>
          <w:sz w:val="20"/>
          <w:szCs w:val="20"/>
          <w:color w:val="auto"/>
        </w:rPr>
        <w:tab/>
      </w:r>
      <w:r>
        <w:rPr>
          <w:rFonts w:ascii="Arial" w:cs="Arial" w:eastAsia="Arial" w:hAnsi="Arial"/>
          <w:sz w:val="14"/>
          <w:szCs w:val="14"/>
          <w:color w:val="auto"/>
        </w:rPr>
        <w:t>issued and outstanding on a pro forma as adjusted</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basis)</w:t>
      </w:r>
    </w:p>
    <w:p>
      <w:pPr>
        <w:spacing w:after="0" w:line="1" w:lineRule="exact"/>
        <w:rPr>
          <w:sz w:val="20"/>
          <w:szCs w:val="20"/>
          <w:color w:val="auto"/>
        </w:rPr>
      </w:pPr>
    </w:p>
    <w:p>
      <w:pPr>
        <w:ind w:left="260" w:hanging="143"/>
        <w:spacing w:after="0" w:line="241" w:lineRule="auto"/>
        <w:rPr>
          <w:sz w:val="20"/>
          <w:szCs w:val="20"/>
          <w:color w:val="auto"/>
        </w:rPr>
      </w:pPr>
      <w:r>
        <w:rPr>
          <w:rFonts w:ascii="Arial" w:cs="Arial" w:eastAsia="Arial" w:hAnsi="Arial"/>
          <w:sz w:val="14"/>
          <w:szCs w:val="14"/>
          <w:color w:val="auto"/>
        </w:rPr>
        <w:t>Class B ordinary shares (US$0.001 par value; none issued or outstanding on an actual basis, 47,240,103 issued and outstanding on a pro forma</w:t>
      </w:r>
    </w:p>
    <w:p>
      <w:pPr>
        <w:spacing w:after="0" w:line="1" w:lineRule="exact"/>
        <w:rPr>
          <w:sz w:val="20"/>
          <w:szCs w:val="20"/>
          <w:color w:val="auto"/>
        </w:rPr>
      </w:pPr>
    </w:p>
    <w:p>
      <w:pPr>
        <w:ind w:left="260" w:right="160"/>
        <w:spacing w:after="0" w:line="241" w:lineRule="auto"/>
        <w:rPr>
          <w:sz w:val="20"/>
          <w:szCs w:val="20"/>
          <w:color w:val="auto"/>
        </w:rPr>
      </w:pPr>
      <w:r>
        <w:rPr>
          <w:rFonts w:ascii="Arial" w:cs="Arial" w:eastAsia="Arial" w:hAnsi="Arial"/>
          <w:sz w:val="14"/>
          <w:szCs w:val="14"/>
          <w:color w:val="auto"/>
        </w:rPr>
        <w:t>basis and issued and outstanding on a pro forma as adjusted basis)</w:t>
      </w:r>
    </w:p>
    <w:p>
      <w:pPr>
        <w:spacing w:after="0" w:line="162" w:lineRule="exact"/>
        <w:rPr>
          <w:sz w:val="20"/>
          <w:szCs w:val="20"/>
          <w:color w:val="auto"/>
        </w:rPr>
      </w:pPr>
    </w:p>
    <w:p>
      <w:pPr>
        <w:ind w:left="260" w:hanging="143"/>
        <w:spacing w:after="0" w:line="241" w:lineRule="auto"/>
        <w:rPr>
          <w:sz w:val="20"/>
          <w:szCs w:val="20"/>
          <w:color w:val="auto"/>
        </w:rPr>
      </w:pPr>
      <w:r>
        <w:rPr>
          <w:rFonts w:ascii="Arial" w:cs="Arial" w:eastAsia="Arial" w:hAnsi="Arial"/>
          <w:sz w:val="14"/>
          <w:szCs w:val="14"/>
          <w:color w:val="auto"/>
        </w:rPr>
        <w:t>Class C ordinary shares (US$0.001 par value; none issued or outstanding on an actual basis; 11,287,336 issued and outstanding on a pro forma</w:t>
      </w:r>
    </w:p>
    <w:p>
      <w:pPr>
        <w:spacing w:after="0" w:line="1" w:lineRule="exact"/>
        <w:rPr>
          <w:sz w:val="20"/>
          <w:szCs w:val="20"/>
          <w:color w:val="auto"/>
        </w:rPr>
      </w:pPr>
    </w:p>
    <w:p>
      <w:pPr>
        <w:ind w:left="260" w:right="120"/>
        <w:spacing w:after="0"/>
        <w:rPr>
          <w:sz w:val="20"/>
          <w:szCs w:val="20"/>
          <w:color w:val="auto"/>
        </w:rPr>
      </w:pPr>
      <w:r>
        <w:rPr>
          <w:rFonts w:ascii="Arial" w:cs="Arial" w:eastAsia="Arial" w:hAnsi="Arial"/>
          <w:sz w:val="14"/>
          <w:szCs w:val="14"/>
          <w:color w:val="auto"/>
        </w:rPr>
        <w:t>basis, and issued and outstanding on a pro forma as adjusted basis)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Additional paid-in capital</w:t>
      </w:r>
      <w:r>
        <w:rPr>
          <w:rFonts w:ascii="Arial" w:cs="Arial" w:eastAsia="Arial" w:hAnsi="Arial"/>
          <w:sz w:val="24"/>
          <w:szCs w:val="24"/>
          <w:color w:val="auto"/>
          <w:vertAlign w:val="superscript"/>
        </w:rPr>
        <w:t>(2)</w:t>
      </w:r>
    </w:p>
    <w:p>
      <w:pPr>
        <w:ind w:left="120"/>
        <w:spacing w:after="0"/>
        <w:rPr>
          <w:sz w:val="20"/>
          <w:szCs w:val="20"/>
          <w:color w:val="auto"/>
        </w:rPr>
      </w:pPr>
      <w:r>
        <w:rPr>
          <w:rFonts w:ascii="Arial" w:cs="Arial" w:eastAsia="Arial" w:hAnsi="Arial"/>
          <w:sz w:val="14"/>
          <w:szCs w:val="14"/>
          <w:color w:val="auto"/>
        </w:rPr>
        <w:t>Accumulated deficit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Accumulated other comprehensive income</w:t>
      </w:r>
    </w:p>
    <w:p>
      <w:pPr>
        <w:ind w:left="120"/>
        <w:spacing w:after="0" w:line="182" w:lineRule="auto"/>
        <w:rPr>
          <w:sz w:val="20"/>
          <w:szCs w:val="20"/>
          <w:color w:val="auto"/>
        </w:rPr>
      </w:pPr>
      <w:r>
        <w:rPr>
          <w:rFonts w:ascii="Arial" w:cs="Arial" w:eastAsia="Arial" w:hAnsi="Arial"/>
          <w:sz w:val="14"/>
          <w:szCs w:val="14"/>
          <w:b w:val="1"/>
          <w:bCs w:val="1"/>
          <w:color w:val="auto"/>
        </w:rPr>
        <w:t>Total shareholders’ equity/(deficit)</w:t>
      </w:r>
      <w:r>
        <w:rPr>
          <w:rFonts w:ascii="Arial" w:cs="Arial" w:eastAsia="Arial" w:hAnsi="Arial"/>
          <w:sz w:val="24"/>
          <w:szCs w:val="24"/>
          <w:color w:val="auto"/>
          <w:vertAlign w:val="superscript"/>
        </w:rPr>
        <w:t>(2)</w:t>
      </w:r>
    </w:p>
    <w:p>
      <w:pPr>
        <w:ind w:left="120"/>
        <w:spacing w:after="0"/>
        <w:rPr>
          <w:sz w:val="20"/>
          <w:szCs w:val="20"/>
          <w:color w:val="auto"/>
        </w:rPr>
      </w:pPr>
      <w:r>
        <w:rPr>
          <w:rFonts w:ascii="Arial" w:cs="Arial" w:eastAsia="Arial" w:hAnsi="Arial"/>
          <w:sz w:val="14"/>
          <w:szCs w:val="14"/>
          <w:b w:val="1"/>
          <w:bCs w:val="1"/>
          <w:color w:val="auto"/>
        </w:rPr>
        <w:t>Total capitalization</w:t>
      </w:r>
      <w:r>
        <w:rPr>
          <w:rFonts w:ascii="Arial" w:cs="Arial" w:eastAsia="Arial" w:hAnsi="Arial"/>
          <w:sz w:val="24"/>
          <w:szCs w:val="24"/>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As of March 31, 2021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00" w:type="dxa"/>
            <w:vAlign w:val="bottom"/>
            <w:tcBorders>
              <w:top w:val="single" w:sz="8" w:color="auto"/>
              <w:bottom w:val="single" w:sz="8" w:color="auto"/>
            </w:tcBorders>
            <w:gridSpan w:val="3"/>
          </w:tcPr>
          <w:p>
            <w:pPr>
              <w:ind w:left="660"/>
              <w:spacing w:after="0" w:line="155" w:lineRule="exact"/>
              <w:rPr>
                <w:sz w:val="20"/>
                <w:szCs w:val="20"/>
                <w:color w:val="auto"/>
              </w:rPr>
            </w:pPr>
            <w:r>
              <w:rPr>
                <w:rFonts w:ascii="Arial" w:cs="Arial" w:eastAsia="Arial" w:hAnsi="Arial"/>
                <w:sz w:val="14"/>
                <w:szCs w:val="14"/>
                <w:b w:val="1"/>
                <w:bCs w:val="1"/>
                <w:color w:val="auto"/>
                <w:w w:val="98"/>
              </w:rPr>
              <w:t>Actual</w:t>
            </w:r>
          </w:p>
        </w:tc>
        <w:tc>
          <w:tcPr>
            <w:tcW w:w="6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060" w:type="dxa"/>
            <w:vAlign w:val="bottom"/>
            <w:tcBorders>
              <w:top w:val="single" w:sz="8" w:color="auto"/>
              <w:bottom w:val="single" w:sz="8" w:color="auto"/>
            </w:tcBorders>
            <w:gridSpan w:val="4"/>
          </w:tcPr>
          <w:p>
            <w:pPr>
              <w:jc w:val="right"/>
              <w:ind w:right="820"/>
              <w:spacing w:after="0" w:line="155" w:lineRule="exact"/>
              <w:rPr>
                <w:sz w:val="20"/>
                <w:szCs w:val="20"/>
                <w:color w:val="auto"/>
              </w:rPr>
            </w:pPr>
            <w:r>
              <w:rPr>
                <w:rFonts w:ascii="Arial" w:cs="Arial" w:eastAsia="Arial" w:hAnsi="Arial"/>
                <w:sz w:val="14"/>
                <w:szCs w:val="14"/>
                <w:b w:val="1"/>
                <w:bCs w:val="1"/>
                <w:color w:val="auto"/>
              </w:rPr>
              <w:t>Pro Forma</w:t>
            </w:r>
          </w:p>
        </w:tc>
        <w:tc>
          <w:tcPr>
            <w:tcW w:w="1840" w:type="dxa"/>
            <w:vAlign w:val="bottom"/>
            <w:tcBorders>
              <w:top w:val="single" w:sz="8" w:color="auto"/>
              <w:bottom w:val="single" w:sz="8" w:color="auto"/>
            </w:tcBorders>
            <w:gridSpan w:val="3"/>
          </w:tcPr>
          <w:p>
            <w:pPr>
              <w:ind w:left="40"/>
              <w:spacing w:after="0" w:line="156" w:lineRule="exact"/>
              <w:rPr>
                <w:sz w:val="20"/>
                <w:szCs w:val="20"/>
                <w:color w:val="auto"/>
              </w:rPr>
            </w:pPr>
            <w:r>
              <w:rPr>
                <w:rFonts w:ascii="Arial" w:cs="Arial" w:eastAsia="Arial" w:hAnsi="Arial"/>
                <w:sz w:val="11"/>
                <w:szCs w:val="11"/>
                <w:b w:val="1"/>
                <w:bCs w:val="1"/>
                <w:color w:val="auto"/>
              </w:rPr>
              <w:t>Pro Forma As Adjusted</w:t>
            </w:r>
            <w:r>
              <w:rPr>
                <w:rFonts w:ascii="Arial" w:cs="Arial" w:eastAsia="Arial" w:hAnsi="Arial"/>
                <w:sz w:val="18"/>
                <w:szCs w:val="18"/>
                <w:b w:val="1"/>
                <w:bCs w:val="1"/>
                <w:color w:val="auto"/>
                <w:vertAlign w:val="superscript"/>
              </w:rPr>
              <w:t>(1)</w:t>
            </w:r>
          </w:p>
        </w:tc>
      </w:tr>
      <w:tr>
        <w:trPr>
          <w:trHeight w:val="142"/>
        </w:trPr>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4"/>
          </w:tcPr>
          <w:p>
            <w:pPr>
              <w:jc w:val="right"/>
              <w:ind w:right="620"/>
              <w:spacing w:after="0" w:line="143"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5"/>
        </w:trPr>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RMB</w:t>
            </w:r>
          </w:p>
        </w:tc>
        <w:tc>
          <w:tcPr>
            <w:tcW w:w="3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5"/>
                <w:szCs w:val="15"/>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5"/>
                <w:szCs w:val="15"/>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5"/>
                <w:szCs w:val="15"/>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US$</w:t>
            </w:r>
          </w:p>
        </w:tc>
      </w:tr>
      <w:tr>
        <w:trPr>
          <w:trHeight w:val="319"/>
        </w:trPr>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1,190,676</w:t>
            </w:r>
          </w:p>
        </w:tc>
        <w:tc>
          <w:tcPr>
            <w:tcW w:w="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181,733</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5,451,027</w:t>
            </w:r>
          </w:p>
        </w:tc>
        <w:tc>
          <w:tcPr>
            <w:tcW w:w="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831,989</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3"/>
        </w:trPr>
        <w:tc>
          <w:tcPr>
            <w:tcW w:w="1100" w:type="dxa"/>
            <w:vAlign w:val="bottom"/>
            <w:gridSpan w:val="3"/>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0"/>
        </w:trPr>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9,542,589</w:t>
            </w:r>
          </w:p>
        </w:tc>
        <w:tc>
          <w:tcPr>
            <w:tcW w:w="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1,456,484</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486"/>
        </w:trPr>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48"/>
        </w:trPr>
        <w:tc>
          <w:tcPr>
            <w:tcW w:w="1100" w:type="dxa"/>
            <w:vAlign w:val="bottom"/>
            <w:gridSpan w:val="3"/>
          </w:tcPr>
          <w:p>
            <w:pPr>
              <w:jc w:val="center"/>
              <w:ind w:left="7"/>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508</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78</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48"/>
        </w:trPr>
        <w:tc>
          <w:tcPr>
            <w:tcW w:w="1100" w:type="dxa"/>
            <w:vAlign w:val="bottom"/>
            <w:gridSpan w:val="3"/>
          </w:tcPr>
          <w:p>
            <w:pPr>
              <w:jc w:val="center"/>
              <w:ind w:left="7"/>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310</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47</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48"/>
        </w:trPr>
        <w:tc>
          <w:tcPr>
            <w:tcW w:w="1100" w:type="dxa"/>
            <w:vAlign w:val="bottom"/>
            <w:gridSpan w:val="3"/>
          </w:tcPr>
          <w:p>
            <w:pPr>
              <w:jc w:val="center"/>
              <w:ind w:left="7"/>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74</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11</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9"/>
        </w:trPr>
        <w:tc>
          <w:tcPr>
            <w:tcW w:w="1100" w:type="dxa"/>
            <w:vAlign w:val="bottom"/>
            <w:gridSpan w:val="3"/>
          </w:tcPr>
          <w:p>
            <w:pPr>
              <w:jc w:val="center"/>
              <w:ind w:left="7"/>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11,057,797</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1,687,749</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(5,817,181)</w:t>
            </w:r>
          </w:p>
        </w:tc>
        <w:tc>
          <w:tcPr>
            <w:tcW w:w="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(887,875)</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(5,817,181)</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(887,875)</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8"/>
        </w:trPr>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1,808</w:t>
            </w:r>
          </w:p>
        </w:tc>
        <w:tc>
          <w:tcPr>
            <w:tcW w:w="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276</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1,808</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276</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(5,815,362)</w:t>
            </w:r>
          </w:p>
        </w:tc>
        <w:tc>
          <w:tcPr>
            <w:tcW w:w="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(887,598)</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5,243,316</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800,286</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0"/>
        </w:trPr>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3,727,227</w:t>
            </w:r>
          </w:p>
        </w:tc>
        <w:tc>
          <w:tcPr>
            <w:tcW w:w="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568,886</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5,243,316</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800,286</w:t>
            </w: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-2889250</wp:posOffset>
            </wp:positionV>
            <wp:extent cx="6995160" cy="205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-2477770</wp:posOffset>
            </wp:positionV>
            <wp:extent cx="6995160" cy="205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-2152015</wp:posOffset>
            </wp:positionV>
            <wp:extent cx="6995160"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-1843405</wp:posOffset>
            </wp:positionV>
            <wp:extent cx="6995160" cy="4114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41148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-1020445</wp:posOffset>
            </wp:positionV>
            <wp:extent cx="6995160" cy="4114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41148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-488950</wp:posOffset>
            </wp:positionV>
            <wp:extent cx="699516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-248920</wp:posOffset>
            </wp:positionV>
            <wp:extent cx="699516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4820" w:space="380"/>
            <w:col w:w="5900"/>
          </w:cols>
          <w:pgMar w:left="320" w:top="459" w:right="479" w:bottom="1440" w:gutter="0" w:footer="0" w:header="0"/>
          <w:type w:val="continuous"/>
        </w:sectPr>
      </w:pPr>
    </w:p>
    <w:p>
      <w:pPr>
        <w:ind w:left="540" w:right="180" w:hanging="424"/>
        <w:spacing w:after="0" w:line="241"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pro forma as adjusted information discussed above is illustrative only. Our additional paid-in capital, accumulated deficit, accumulated other comprehensive income, total shareholder’s equity/(deficit) and total capitalization following the completion of this offering are subject to adjustment based on the actual initial public offering price and other terms of this offering determined at pricing.</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Arial" w:cs="Arial" w:eastAsia="Arial" w:hAnsi="Arial"/>
                <w:sz w:val="14"/>
                <w:szCs w:val="14"/>
                <w:color w:val="auto"/>
                <w:w w:val="93"/>
              </w:rPr>
              <w:t>(2)</w:t>
            </w:r>
          </w:p>
        </w:tc>
        <w:tc>
          <w:tcPr>
            <w:tcW w:w="5520" w:type="dxa"/>
            <w:vAlign w:val="bottom"/>
            <w:gridSpan w:val="2"/>
          </w:tcPr>
          <w:p>
            <w:pPr>
              <w:ind w:left="120"/>
              <w:spacing w:after="0"/>
              <w:rPr>
                <w:sz w:val="20"/>
                <w:szCs w:val="20"/>
                <w:color w:val="auto"/>
              </w:rPr>
            </w:pPr>
            <w:r>
              <w:rPr>
                <w:rFonts w:ascii="Arial" w:cs="Arial" w:eastAsia="Arial" w:hAnsi="Arial"/>
                <w:sz w:val="14"/>
                <w:szCs w:val="14"/>
                <w:color w:val="auto"/>
              </w:rPr>
              <w:t>A US$1.00 increase (decrease) in the assumed initial public offering price of US$</w:t>
            </w:r>
          </w:p>
        </w:tc>
        <w:tc>
          <w:tcPr>
            <w:tcW w:w="4940" w:type="dxa"/>
            <w:vAlign w:val="bottom"/>
          </w:tcPr>
          <w:p>
            <w:pPr>
              <w:ind w:left="240"/>
              <w:spacing w:after="0"/>
              <w:rPr>
                <w:sz w:val="20"/>
                <w:szCs w:val="20"/>
                <w:color w:val="auto"/>
              </w:rPr>
            </w:pPr>
            <w:r>
              <w:rPr>
                <w:rFonts w:ascii="Arial" w:cs="Arial" w:eastAsia="Arial" w:hAnsi="Arial"/>
                <w:sz w:val="14"/>
                <w:szCs w:val="14"/>
                <w:color w:val="auto"/>
              </w:rPr>
              <w:t>per ADS, which is the midpoint of the estimated range of the initial public</w:t>
            </w:r>
          </w:p>
        </w:tc>
      </w:tr>
      <w:tr>
        <w:trPr>
          <w:trHeight w:val="162"/>
        </w:trPr>
        <w:tc>
          <w:tcPr>
            <w:tcW w:w="300" w:type="dxa"/>
            <w:vAlign w:val="bottom"/>
          </w:tcPr>
          <w:p>
            <w:pPr>
              <w:spacing w:after="0"/>
              <w:rPr>
                <w:sz w:val="14"/>
                <w:szCs w:val="14"/>
                <w:color w:val="auto"/>
              </w:rPr>
            </w:pPr>
          </w:p>
        </w:tc>
        <w:tc>
          <w:tcPr>
            <w:tcW w:w="10460" w:type="dxa"/>
            <w:vAlign w:val="bottom"/>
            <w:gridSpan w:val="3"/>
          </w:tcPr>
          <w:p>
            <w:pPr>
              <w:ind w:left="120"/>
              <w:spacing w:after="0"/>
              <w:rPr>
                <w:sz w:val="20"/>
                <w:szCs w:val="20"/>
                <w:color w:val="auto"/>
              </w:rPr>
            </w:pPr>
            <w:r>
              <w:rPr>
                <w:rFonts w:ascii="Arial" w:cs="Arial" w:eastAsia="Arial" w:hAnsi="Arial"/>
                <w:sz w:val="14"/>
                <w:szCs w:val="14"/>
                <w:color w:val="auto"/>
              </w:rPr>
              <w:t>offering price shown on the cover page of this prospectus, would increase (decrease) each of additional paid-in capital, total shareholders’ equity/(deficit), and total</w:t>
            </w:r>
          </w:p>
        </w:tc>
      </w:tr>
      <w:tr>
        <w:trPr>
          <w:trHeight w:val="162"/>
        </w:trPr>
        <w:tc>
          <w:tcPr>
            <w:tcW w:w="300" w:type="dxa"/>
            <w:vAlign w:val="bottom"/>
          </w:tcPr>
          <w:p>
            <w:pPr>
              <w:spacing w:after="0"/>
              <w:rPr>
                <w:sz w:val="14"/>
                <w:szCs w:val="14"/>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capitalization by US$</w:t>
            </w:r>
          </w:p>
        </w:tc>
        <w:tc>
          <w:tcPr>
            <w:tcW w:w="3800" w:type="dxa"/>
            <w:vAlign w:val="bottom"/>
          </w:tcPr>
          <w:p>
            <w:pPr>
              <w:ind w:left="240"/>
              <w:spacing w:after="0"/>
              <w:rPr>
                <w:sz w:val="20"/>
                <w:szCs w:val="20"/>
                <w:color w:val="auto"/>
              </w:rPr>
            </w:pPr>
            <w:r>
              <w:rPr>
                <w:rFonts w:ascii="Arial" w:cs="Arial" w:eastAsia="Arial" w:hAnsi="Arial"/>
                <w:sz w:val="14"/>
                <w:szCs w:val="14"/>
                <w:color w:val="auto"/>
              </w:rPr>
              <w:t>million.</w:t>
            </w:r>
          </w:p>
        </w:tc>
        <w:tc>
          <w:tcPr>
            <w:tcW w:w="4940" w:type="dxa"/>
            <w:vAlign w:val="bottom"/>
          </w:tcPr>
          <w:p>
            <w:pPr>
              <w:spacing w:after="0"/>
              <w:rPr>
                <w:sz w:val="14"/>
                <w:szCs w:val="14"/>
                <w:color w:val="auto"/>
              </w:rPr>
            </w:pPr>
          </w:p>
        </w:tc>
      </w:tr>
    </w:tbl>
    <w:p>
      <w:pPr>
        <w:ind w:left="540" w:hanging="424"/>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Total capitalization represents total mezzanine and shareholders’ equity/(deficit).</w:t>
      </w:r>
    </w:p>
    <w:p>
      <w:pPr>
        <w:spacing w:after="0" w:line="1" w:lineRule="exact"/>
        <w:rPr>
          <w:rFonts w:ascii="Arial" w:cs="Arial" w:eastAsia="Arial" w:hAnsi="Arial"/>
          <w:sz w:val="14"/>
          <w:szCs w:val="14"/>
          <w:color w:val="auto"/>
        </w:rPr>
      </w:pPr>
    </w:p>
    <w:p>
      <w:pPr>
        <w:ind w:left="540" w:right="300" w:hanging="424"/>
        <w:spacing w:after="0" w:line="258"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table above does not reflect the warrant we issued to China Equities HK Limited on May 10, 2021, which entitles the holder to subscribe for 153,570 ordinary shares of our company at an exercise price of US$2.65 per share, subject to certain price adjustments as set forth in the warrant.</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tangible book value as of March 31, 2021 was approximately US$96.7 million, representing US$5.2 per ordinary share as</w:t>
      </w:r>
    </w:p>
    <w:p>
      <w:pPr>
        <w:ind w:left="120" w:right="100"/>
        <w:spacing w:after="0" w:line="234" w:lineRule="auto"/>
        <w:rPr>
          <w:sz w:val="20"/>
          <w:szCs w:val="20"/>
          <w:color w:val="auto"/>
        </w:rPr>
      </w:pPr>
      <w:r>
        <w:rPr>
          <w:rFonts w:ascii="Arial" w:cs="Arial" w:eastAsia="Arial" w:hAnsi="Arial"/>
          <w:sz w:val="18"/>
          <w:szCs w:val="18"/>
          <w:color w:val="auto"/>
        </w:rPr>
        <w:t>of that date and US$ per ADS, or US$ per ordinary share and US$ per ADS on a pro forma basis. Net tangible book value represents the amount of our total consolidated tangible assets, less the amount of our total consolidated liabilities. Pro forma net tangible book value per ordinary share is calculated after giving effect to the automatic conversion of all of our issued and outstanding convertible preference shares. Dilution is determined by subtracting pro forma net tangible book value per ordinary share, after giving</w:t>
      </w:r>
    </w:p>
    <w:p>
      <w:pPr>
        <w:spacing w:after="0" w:line="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effect to the additional proceeds we will receive from this offering, from the assumed initial public offering price of US$ per ordinary share, which is the midpoint of the estimated initial public offering price range set forth on the front cover of this prospectus adjusted to reflect the ADS-to-ordinary share ratio, and after deducting underwriting discounts and commissions and estimated offering expenses payable by us. Because the Class A ordinary shares, Class B ordinary shares and Class C ordinary shares have the same dividend and other rights, except for voting and conversion rights, the dilution is presented based on all issued and outstanding ordinary shares, including Class A ordinary shares, Class B ordinary shares and Class C ordinary shares.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Without taking into account any other changes in pro forma net tangible book value after March 31, 2021, other than to give effect</w:t>
      </w:r>
    </w:p>
    <w:p>
      <w:pPr>
        <w:ind w:left="120" w:right="200"/>
        <w:spacing w:after="0" w:line="234" w:lineRule="auto"/>
        <w:rPr>
          <w:sz w:val="20"/>
          <w:szCs w:val="20"/>
          <w:color w:val="auto"/>
        </w:rPr>
      </w:pPr>
      <w:r>
        <w:rPr>
          <w:rFonts w:ascii="Arial" w:cs="Arial" w:eastAsia="Arial" w:hAnsi="Arial"/>
          <w:sz w:val="18"/>
          <w:szCs w:val="18"/>
          <w:color w:val="auto"/>
        </w:rPr>
        <w:t>to our sale of the ADSs offered in this offering at the assumed initial public offering price of US$ per ADS, which is the midpoint of the estimated initial public offering price range, after deduction of the underwriting discounts and commissions and estimated offering</w:t>
      </w:r>
    </w:p>
    <w:tbl>
      <w:tblPr>
        <w:tblLayout w:type="fixed"/>
        <w:tblInd w:w="120" w:type="dxa"/>
        <w:tblCellMar>
          <w:top w:w="0" w:type="dxa"/>
          <w:left w:w="0" w:type="dxa"/>
          <w:bottom w:w="0" w:type="dxa"/>
          <w:right w:w="0" w:type="dxa"/>
        </w:tblCellMar>
      </w:tblPr>
      <w:tr>
        <w:trPr>
          <w:trHeight w:val="204"/>
        </w:trPr>
        <w:tc>
          <w:tcPr>
            <w:tcW w:w="9740" w:type="dxa"/>
            <w:vAlign w:val="bottom"/>
            <w:gridSpan w:val="7"/>
          </w:tcPr>
          <w:p>
            <w:pPr>
              <w:spacing w:after="0" w:line="204" w:lineRule="exact"/>
              <w:rPr>
                <w:sz w:val="20"/>
                <w:szCs w:val="20"/>
                <w:color w:val="auto"/>
              </w:rPr>
            </w:pPr>
            <w:r>
              <w:rPr>
                <w:rFonts w:ascii="Arial" w:cs="Arial" w:eastAsia="Arial" w:hAnsi="Arial"/>
                <w:sz w:val="18"/>
                <w:szCs w:val="18"/>
                <w:color w:val="auto"/>
              </w:rPr>
              <w:t>expenses payable by us, our pro forma as adjusted net tangible book value as of March 31, 2021 would have been US$</w:t>
            </w:r>
          </w:p>
        </w:tc>
        <w:tc>
          <w:tcPr>
            <w:tcW w:w="200" w:type="dxa"/>
            <w:vAlign w:val="bottom"/>
          </w:tcPr>
          <w:p>
            <w:pPr>
              <w:spacing w:after="0"/>
              <w:rPr>
                <w:sz w:val="17"/>
                <w:szCs w:val="17"/>
                <w:color w:val="auto"/>
              </w:rPr>
            </w:pPr>
          </w:p>
        </w:tc>
        <w:tc>
          <w:tcPr>
            <w:tcW w:w="1080" w:type="dxa"/>
            <w:vAlign w:val="bottom"/>
            <w:gridSpan w:val="2"/>
          </w:tcPr>
          <w:p>
            <w:pPr>
              <w:ind w:left="180"/>
              <w:spacing w:after="0" w:line="204" w:lineRule="exact"/>
              <w:rPr>
                <w:sz w:val="20"/>
                <w:szCs w:val="20"/>
                <w:color w:val="auto"/>
              </w:rPr>
            </w:pPr>
            <w:r>
              <w:rPr>
                <w:rFonts w:ascii="Arial" w:cs="Arial" w:eastAsia="Arial" w:hAnsi="Arial"/>
                <w:sz w:val="18"/>
                <w:szCs w:val="18"/>
                <w:color w:val="auto"/>
              </w:rPr>
              <w:t>, or</w:t>
            </w:r>
          </w:p>
        </w:tc>
      </w:tr>
      <w:tr>
        <w:trPr>
          <w:trHeight w:val="203"/>
        </w:trPr>
        <w:tc>
          <w:tcPr>
            <w:tcW w:w="84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28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per ordinary share and US$</w:t>
            </w:r>
          </w:p>
        </w:tc>
        <w:tc>
          <w:tcPr>
            <w:tcW w:w="7340" w:type="dxa"/>
            <w:vAlign w:val="bottom"/>
            <w:gridSpan w:val="7"/>
          </w:tcPr>
          <w:p>
            <w:pPr>
              <w:ind w:left="120"/>
              <w:spacing w:after="0" w:line="202" w:lineRule="exact"/>
              <w:rPr>
                <w:sz w:val="20"/>
                <w:szCs w:val="20"/>
                <w:color w:val="auto"/>
              </w:rPr>
            </w:pPr>
            <w:r>
              <w:rPr>
                <w:rFonts w:ascii="Arial" w:cs="Arial" w:eastAsia="Arial" w:hAnsi="Arial"/>
                <w:sz w:val="18"/>
                <w:szCs w:val="18"/>
                <w:color w:val="auto"/>
              </w:rPr>
              <w:t>per ADS. This represents an immediate increase in net tangible book value of US$</w:t>
            </w:r>
          </w:p>
        </w:tc>
      </w:tr>
      <w:tr>
        <w:trPr>
          <w:trHeight w:val="203"/>
        </w:trPr>
        <w:tc>
          <w:tcPr>
            <w:tcW w:w="2500" w:type="dxa"/>
            <w:vAlign w:val="bottom"/>
            <w:gridSpan w:val="2"/>
          </w:tcPr>
          <w:p>
            <w:pPr>
              <w:spacing w:after="0" w:line="202" w:lineRule="exact"/>
              <w:rPr>
                <w:sz w:val="20"/>
                <w:szCs w:val="20"/>
                <w:color w:val="auto"/>
              </w:rPr>
            </w:pPr>
            <w:r>
              <w:rPr>
                <w:rFonts w:ascii="Arial" w:cs="Arial" w:eastAsia="Arial" w:hAnsi="Arial"/>
                <w:sz w:val="18"/>
                <w:szCs w:val="18"/>
                <w:color w:val="auto"/>
              </w:rPr>
              <w:t>per ordinary share and US$</w:t>
            </w:r>
          </w:p>
        </w:tc>
        <w:tc>
          <w:tcPr>
            <w:tcW w:w="8520" w:type="dxa"/>
            <w:vAlign w:val="bottom"/>
            <w:gridSpan w:val="8"/>
          </w:tcPr>
          <w:p>
            <w:pPr>
              <w:ind w:left="300"/>
              <w:spacing w:after="0" w:line="202" w:lineRule="exact"/>
              <w:rPr>
                <w:sz w:val="20"/>
                <w:szCs w:val="20"/>
                <w:color w:val="auto"/>
              </w:rPr>
            </w:pPr>
            <w:r>
              <w:rPr>
                <w:rFonts w:ascii="Arial" w:cs="Arial" w:eastAsia="Arial" w:hAnsi="Arial"/>
                <w:sz w:val="18"/>
                <w:szCs w:val="18"/>
                <w:color w:val="auto"/>
              </w:rPr>
              <w:t>per ADS to the existing shareholders and an immediate dilution in net tangible book value of</w:t>
            </w:r>
          </w:p>
        </w:tc>
      </w:tr>
      <w:tr>
        <w:trPr>
          <w:trHeight w:val="203"/>
        </w:trPr>
        <w:tc>
          <w:tcPr>
            <w:tcW w:w="84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28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per ordinary share and US$</w:t>
            </w:r>
          </w:p>
        </w:tc>
        <w:tc>
          <w:tcPr>
            <w:tcW w:w="7340" w:type="dxa"/>
            <w:vAlign w:val="bottom"/>
            <w:gridSpan w:val="7"/>
          </w:tcPr>
          <w:p>
            <w:pPr>
              <w:ind w:left="80"/>
              <w:spacing w:after="0" w:line="202" w:lineRule="exact"/>
              <w:rPr>
                <w:sz w:val="20"/>
                <w:szCs w:val="20"/>
                <w:color w:val="auto"/>
              </w:rPr>
            </w:pPr>
            <w:r>
              <w:rPr>
                <w:rFonts w:ascii="Arial" w:cs="Arial" w:eastAsia="Arial" w:hAnsi="Arial"/>
                <w:sz w:val="18"/>
                <w:szCs w:val="18"/>
                <w:color w:val="auto"/>
              </w:rPr>
              <w:t>per ADS to investors purchasing ADSs in this offering. The following table illustrates such</w:t>
            </w:r>
          </w:p>
        </w:tc>
      </w:tr>
      <w:tr>
        <w:trPr>
          <w:trHeight w:val="217"/>
        </w:trPr>
        <w:tc>
          <w:tcPr>
            <w:tcW w:w="840" w:type="dxa"/>
            <w:vAlign w:val="bottom"/>
          </w:tcPr>
          <w:p>
            <w:pPr>
              <w:spacing w:after="0"/>
              <w:rPr>
                <w:sz w:val="20"/>
                <w:szCs w:val="20"/>
                <w:color w:val="auto"/>
              </w:rPr>
            </w:pPr>
            <w:r>
              <w:rPr>
                <w:rFonts w:ascii="Arial" w:cs="Arial" w:eastAsia="Arial" w:hAnsi="Arial"/>
                <w:sz w:val="18"/>
                <w:szCs w:val="18"/>
                <w:color w:val="auto"/>
              </w:rPr>
              <w:t>dilution:</w:t>
            </w:r>
          </w:p>
        </w:tc>
        <w:tc>
          <w:tcPr>
            <w:tcW w:w="1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78"/>
        </w:trPr>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Per</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Ordinary</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Share</w:t>
            </w:r>
          </w:p>
        </w:tc>
        <w:tc>
          <w:tcPr>
            <w:tcW w:w="200" w:type="dxa"/>
            <w:vAlign w:val="bottom"/>
          </w:tcPr>
          <w:p>
            <w:pPr>
              <w:spacing w:after="0"/>
              <w:rPr>
                <w:sz w:val="15"/>
                <w:szCs w:val="15"/>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 ADS</w:t>
            </w:r>
          </w:p>
        </w:tc>
      </w:tr>
      <w:tr>
        <w:trPr>
          <w:trHeight w:val="196"/>
        </w:trPr>
        <w:tc>
          <w:tcPr>
            <w:tcW w:w="368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Assumed initial public offering price</w:t>
            </w:r>
          </w:p>
        </w:tc>
        <w:tc>
          <w:tcPr>
            <w:tcW w:w="3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7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680" w:type="dxa"/>
            <w:vAlign w:val="bottom"/>
            <w:gridSpan w:val="3"/>
          </w:tcPr>
          <w:p>
            <w:pPr>
              <w:spacing w:after="0" w:line="202" w:lineRule="exact"/>
              <w:rPr>
                <w:sz w:val="20"/>
                <w:szCs w:val="20"/>
                <w:color w:val="auto"/>
              </w:rPr>
            </w:pPr>
            <w:r>
              <w:rPr>
                <w:rFonts w:ascii="Arial" w:cs="Arial" w:eastAsia="Arial" w:hAnsi="Arial"/>
                <w:sz w:val="18"/>
                <w:szCs w:val="18"/>
                <w:color w:val="auto"/>
              </w:rPr>
              <w:t>Net tangible book value as of March 31, 2021</w:t>
            </w:r>
          </w:p>
        </w:tc>
        <w:tc>
          <w:tcPr>
            <w:tcW w:w="3460" w:type="dxa"/>
            <w:vAlign w:val="bottom"/>
          </w:tcPr>
          <w:p>
            <w:pPr>
              <w:spacing w:after="0"/>
              <w:rPr>
                <w:sz w:val="17"/>
                <w:szCs w:val="17"/>
                <w:color w:val="auto"/>
              </w:rPr>
            </w:pPr>
          </w:p>
        </w:tc>
        <w:tc>
          <w:tcPr>
            <w:tcW w:w="2600" w:type="dxa"/>
            <w:vAlign w:val="bottom"/>
            <w:gridSpan w:val="3"/>
          </w:tcPr>
          <w:p>
            <w:pPr>
              <w:ind w:left="880"/>
              <w:spacing w:after="0" w:line="202" w:lineRule="exact"/>
              <w:rPr>
                <w:sz w:val="20"/>
                <w:szCs w:val="20"/>
                <w:color w:val="auto"/>
              </w:rPr>
            </w:pPr>
            <w:r>
              <w:rPr>
                <w:rFonts w:ascii="Arial" w:cs="Arial" w:eastAsia="Arial" w:hAnsi="Arial"/>
                <w:sz w:val="18"/>
                <w:szCs w:val="18"/>
                <w:color w:val="auto"/>
              </w:rPr>
              <w:t>US$</w:t>
            </w:r>
          </w:p>
        </w:tc>
        <w:tc>
          <w:tcPr>
            <w:tcW w:w="12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US$</w:t>
            </w:r>
          </w:p>
        </w:tc>
      </w:tr>
      <w:tr>
        <w:trPr>
          <w:trHeight w:val="202"/>
        </w:trPr>
        <w:tc>
          <w:tcPr>
            <w:tcW w:w="71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Pro forma net tangible book value after giving effect to the conversion of our preferred</w:t>
            </w:r>
          </w:p>
        </w:tc>
        <w:tc>
          <w:tcPr>
            <w:tcW w:w="8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shares</w:t>
            </w:r>
          </w:p>
        </w:tc>
        <w:tc>
          <w:tcPr>
            <w:tcW w:w="16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600" w:type="dxa"/>
            <w:vAlign w:val="bottom"/>
            <w:gridSpan w:val="3"/>
            <w:shd w:val="clear" w:color="auto" w:fill="CCEEFF"/>
          </w:tcPr>
          <w:p>
            <w:pPr>
              <w:ind w:left="880"/>
              <w:spacing w:after="0" w:line="203" w:lineRule="exact"/>
              <w:rPr>
                <w:sz w:val="20"/>
                <w:szCs w:val="20"/>
                <w:color w:val="auto"/>
              </w:rPr>
            </w:pPr>
            <w:r>
              <w:rPr>
                <w:rFonts w:ascii="Arial" w:cs="Arial" w:eastAsia="Arial" w:hAnsi="Arial"/>
                <w:sz w:val="18"/>
                <w:szCs w:val="18"/>
                <w:color w:val="auto"/>
              </w:rPr>
              <w:t>US$</w:t>
            </w:r>
          </w:p>
        </w:tc>
        <w:tc>
          <w:tcPr>
            <w:tcW w:w="1280" w:type="dxa"/>
            <w:vAlign w:val="bottom"/>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rPr>
              <w:t>US$</w:t>
            </w:r>
          </w:p>
        </w:tc>
      </w:tr>
      <w:tr>
        <w:trPr>
          <w:trHeight w:val="202"/>
        </w:trPr>
        <w:tc>
          <w:tcPr>
            <w:tcW w:w="7140" w:type="dxa"/>
            <w:vAlign w:val="bottom"/>
            <w:gridSpan w:val="4"/>
          </w:tcPr>
          <w:p>
            <w:pPr>
              <w:spacing w:after="0" w:line="201" w:lineRule="exact"/>
              <w:rPr>
                <w:sz w:val="20"/>
                <w:szCs w:val="20"/>
                <w:color w:val="auto"/>
              </w:rPr>
            </w:pPr>
            <w:r>
              <w:rPr>
                <w:rFonts w:ascii="Arial" w:cs="Arial" w:eastAsia="Arial" w:hAnsi="Arial"/>
                <w:sz w:val="18"/>
                <w:szCs w:val="18"/>
                <w:color w:val="auto"/>
              </w:rPr>
              <w:t>Pro forma as adjusted net tangible book value after giving effect to the conversion of our</w:t>
            </w: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680" w:type="dxa"/>
            <w:vAlign w:val="bottom"/>
            <w:gridSpan w:val="3"/>
          </w:tcPr>
          <w:p>
            <w:pPr>
              <w:ind w:left="180"/>
              <w:spacing w:after="0" w:line="203" w:lineRule="exact"/>
              <w:rPr>
                <w:sz w:val="20"/>
                <w:szCs w:val="20"/>
                <w:color w:val="auto"/>
              </w:rPr>
            </w:pPr>
            <w:r>
              <w:rPr>
                <w:rFonts w:ascii="Arial" w:cs="Arial" w:eastAsia="Arial" w:hAnsi="Arial"/>
                <w:sz w:val="18"/>
                <w:szCs w:val="18"/>
                <w:color w:val="auto"/>
              </w:rPr>
              <w:t>preferred shares and this offering</w:t>
            </w:r>
          </w:p>
        </w:tc>
        <w:tc>
          <w:tcPr>
            <w:tcW w:w="3460" w:type="dxa"/>
            <w:vAlign w:val="bottom"/>
          </w:tcPr>
          <w:p>
            <w:pPr>
              <w:spacing w:after="0"/>
              <w:rPr>
                <w:sz w:val="17"/>
                <w:szCs w:val="17"/>
                <w:color w:val="auto"/>
              </w:rPr>
            </w:pPr>
          </w:p>
        </w:tc>
        <w:tc>
          <w:tcPr>
            <w:tcW w:w="2600" w:type="dxa"/>
            <w:vAlign w:val="bottom"/>
            <w:gridSpan w:val="3"/>
          </w:tcPr>
          <w:p>
            <w:pPr>
              <w:ind w:left="880"/>
              <w:spacing w:after="0" w:line="203" w:lineRule="exact"/>
              <w:rPr>
                <w:sz w:val="20"/>
                <w:szCs w:val="20"/>
                <w:color w:val="auto"/>
              </w:rPr>
            </w:pPr>
            <w:r>
              <w:rPr>
                <w:rFonts w:ascii="Arial" w:cs="Arial" w:eastAsia="Arial" w:hAnsi="Arial"/>
                <w:sz w:val="18"/>
                <w:szCs w:val="18"/>
                <w:color w:val="auto"/>
              </w:rPr>
              <w:t>US$</w:t>
            </w:r>
          </w:p>
        </w:tc>
        <w:tc>
          <w:tcPr>
            <w:tcW w:w="1280" w:type="dxa"/>
            <w:vAlign w:val="bottom"/>
            <w:gridSpan w:val="3"/>
          </w:tcPr>
          <w:p>
            <w:pPr>
              <w:ind w:left="200"/>
              <w:spacing w:after="0" w:line="203" w:lineRule="exact"/>
              <w:rPr>
                <w:sz w:val="20"/>
                <w:szCs w:val="20"/>
                <w:color w:val="auto"/>
              </w:rPr>
            </w:pPr>
            <w:r>
              <w:rPr>
                <w:rFonts w:ascii="Arial" w:cs="Arial" w:eastAsia="Arial" w:hAnsi="Arial"/>
                <w:sz w:val="18"/>
                <w:szCs w:val="18"/>
                <w:color w:val="auto"/>
              </w:rPr>
              <w:t>US$</w:t>
            </w:r>
          </w:p>
        </w:tc>
      </w:tr>
      <w:tr>
        <w:trPr>
          <w:trHeight w:val="203"/>
        </w:trPr>
        <w:tc>
          <w:tcPr>
            <w:tcW w:w="71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Amount of dilution in net tangible book value to new investors in this offering</w:t>
            </w:r>
          </w:p>
        </w:tc>
        <w:tc>
          <w:tcPr>
            <w:tcW w:w="2600" w:type="dxa"/>
            <w:vAlign w:val="bottom"/>
            <w:gridSpan w:val="3"/>
            <w:shd w:val="clear" w:color="auto" w:fill="CCEEFF"/>
          </w:tcPr>
          <w:p>
            <w:pPr>
              <w:ind w:left="880"/>
              <w:spacing w:after="0" w:line="202" w:lineRule="exact"/>
              <w:rPr>
                <w:sz w:val="20"/>
                <w:szCs w:val="20"/>
                <w:color w:val="auto"/>
              </w:rPr>
            </w:pPr>
            <w:r>
              <w:rPr>
                <w:rFonts w:ascii="Arial" w:cs="Arial" w:eastAsia="Arial" w:hAnsi="Arial"/>
                <w:sz w:val="18"/>
                <w:szCs w:val="18"/>
                <w:color w:val="auto"/>
              </w:rPr>
              <w:t>US$</w:t>
            </w:r>
          </w:p>
        </w:tc>
        <w:tc>
          <w:tcPr>
            <w:tcW w:w="128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US$</w:t>
            </w:r>
          </w:p>
        </w:tc>
      </w:tr>
      <w:tr>
        <w:trPr>
          <w:trHeight w:val="418"/>
        </w:trPr>
        <w:tc>
          <w:tcPr>
            <w:tcW w:w="7140" w:type="dxa"/>
            <w:vAlign w:val="bottom"/>
            <w:gridSpan w:val="4"/>
          </w:tcPr>
          <w:p>
            <w:pPr>
              <w:ind w:left="540"/>
              <w:spacing w:after="0"/>
              <w:rPr>
                <w:sz w:val="20"/>
                <w:szCs w:val="20"/>
                <w:color w:val="auto"/>
              </w:rPr>
            </w:pPr>
            <w:r>
              <w:rPr>
                <w:rFonts w:ascii="Arial" w:cs="Arial" w:eastAsia="Arial" w:hAnsi="Arial"/>
                <w:sz w:val="18"/>
                <w:szCs w:val="18"/>
                <w:color w:val="auto"/>
              </w:rPr>
              <w:t>A US$1.00 increase (decrease) in the assumed initial public offering price of US$</w:t>
            </w:r>
          </w:p>
        </w:tc>
        <w:tc>
          <w:tcPr>
            <w:tcW w:w="3880" w:type="dxa"/>
            <w:vAlign w:val="bottom"/>
            <w:gridSpan w:val="6"/>
          </w:tcPr>
          <w:p>
            <w:pPr>
              <w:jc w:val="right"/>
              <w:ind w:right="280"/>
              <w:spacing w:after="0"/>
              <w:rPr>
                <w:sz w:val="20"/>
                <w:szCs w:val="20"/>
                <w:color w:val="auto"/>
              </w:rPr>
            </w:pPr>
            <w:r>
              <w:rPr>
                <w:rFonts w:ascii="Arial" w:cs="Arial" w:eastAsia="Arial" w:hAnsi="Arial"/>
                <w:sz w:val="18"/>
                <w:szCs w:val="18"/>
                <w:color w:val="auto"/>
              </w:rPr>
              <w:t>per ADS would increase (decrease) our</w:t>
            </w:r>
          </w:p>
        </w:tc>
      </w:tr>
      <w:tr>
        <w:trPr>
          <w:trHeight w:val="203"/>
        </w:trPr>
        <w:tc>
          <w:tcPr>
            <w:tcW w:w="7140" w:type="dxa"/>
            <w:vAlign w:val="bottom"/>
            <w:gridSpan w:val="4"/>
          </w:tcPr>
          <w:p>
            <w:pPr>
              <w:spacing w:after="0" w:line="202" w:lineRule="exact"/>
              <w:rPr>
                <w:sz w:val="20"/>
                <w:szCs w:val="20"/>
                <w:color w:val="auto"/>
              </w:rPr>
            </w:pPr>
            <w:r>
              <w:rPr>
                <w:rFonts w:ascii="Arial" w:cs="Arial" w:eastAsia="Arial" w:hAnsi="Arial"/>
                <w:sz w:val="18"/>
                <w:szCs w:val="18"/>
                <w:color w:val="auto"/>
              </w:rPr>
              <w:t>pro forma as adjusted net tangible book value after giving effect to this offering by US$</w:t>
            </w:r>
          </w:p>
        </w:tc>
        <w:tc>
          <w:tcPr>
            <w:tcW w:w="3880" w:type="dxa"/>
            <w:vAlign w:val="bottom"/>
            <w:gridSpan w:val="6"/>
          </w:tcPr>
          <w:p>
            <w:pPr>
              <w:ind w:left="340"/>
              <w:spacing w:after="0" w:line="202" w:lineRule="exact"/>
              <w:rPr>
                <w:sz w:val="20"/>
                <w:szCs w:val="20"/>
                <w:color w:val="auto"/>
              </w:rPr>
            </w:pPr>
            <w:r>
              <w:rPr>
                <w:rFonts w:ascii="Arial" w:cs="Arial" w:eastAsia="Arial" w:hAnsi="Arial"/>
                <w:sz w:val="18"/>
                <w:szCs w:val="18"/>
                <w:color w:val="auto"/>
              </w:rPr>
              <w:t>, the pro forma as adjusted net tangible</w:t>
            </w:r>
          </w:p>
        </w:tc>
      </w:tr>
      <w:tr>
        <w:trPr>
          <w:trHeight w:val="203"/>
        </w:trPr>
        <w:tc>
          <w:tcPr>
            <w:tcW w:w="7140" w:type="dxa"/>
            <w:vAlign w:val="bottom"/>
            <w:gridSpan w:val="4"/>
          </w:tcPr>
          <w:p>
            <w:pPr>
              <w:spacing w:after="0" w:line="202" w:lineRule="exact"/>
              <w:rPr>
                <w:sz w:val="20"/>
                <w:szCs w:val="20"/>
                <w:color w:val="auto"/>
              </w:rPr>
            </w:pPr>
            <w:r>
              <w:rPr>
                <w:rFonts w:ascii="Arial" w:cs="Arial" w:eastAsia="Arial" w:hAnsi="Arial"/>
                <w:sz w:val="18"/>
                <w:szCs w:val="18"/>
                <w:color w:val="auto"/>
              </w:rPr>
              <w:t>book value per ordinary share and per ADS after giving effect to this offering by US$</w:t>
            </w:r>
          </w:p>
        </w:tc>
        <w:tc>
          <w:tcPr>
            <w:tcW w:w="260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per ordinary share and US$</w:t>
            </w:r>
          </w:p>
        </w:tc>
        <w:tc>
          <w:tcPr>
            <w:tcW w:w="200" w:type="dxa"/>
            <w:vAlign w:val="bottom"/>
          </w:tcPr>
          <w:p>
            <w:pPr>
              <w:spacing w:after="0"/>
              <w:rPr>
                <w:sz w:val="17"/>
                <w:szCs w:val="17"/>
                <w:color w:val="auto"/>
              </w:rPr>
            </w:pPr>
          </w:p>
        </w:tc>
        <w:tc>
          <w:tcPr>
            <w:tcW w:w="108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per ADS</w:t>
            </w:r>
          </w:p>
        </w:tc>
      </w:tr>
    </w:tbl>
    <w:p>
      <w:pPr>
        <w:ind w:left="120"/>
        <w:spacing w:after="0"/>
        <w:rPr>
          <w:sz w:val="20"/>
          <w:szCs w:val="20"/>
          <w:color w:val="auto"/>
        </w:rPr>
      </w:pPr>
      <w:r>
        <w:rPr>
          <w:rFonts w:ascii="Arial" w:cs="Arial" w:eastAsia="Arial" w:hAnsi="Arial"/>
          <w:sz w:val="18"/>
          <w:szCs w:val="18"/>
          <w:color w:val="auto"/>
        </w:rPr>
        <w:t>and the dilution in pro forma as adjusted net tangible book value per ordinary share and per ADS to new investors in this offering by</w:t>
      </w:r>
    </w:p>
    <w:p>
      <w:pPr>
        <w:spacing w:after="0" w:line="200" w:lineRule="exact"/>
        <w:rPr>
          <w:sz w:val="20"/>
          <w:szCs w:val="20"/>
          <w:color w:val="auto"/>
        </w:rPr>
      </w:pPr>
    </w:p>
    <w:p>
      <w:pPr>
        <w:spacing w:after="0" w:line="209" w:lineRule="exact"/>
        <w:rPr>
          <w:sz w:val="20"/>
          <w:szCs w:val="20"/>
          <w:color w:val="auto"/>
        </w:rPr>
      </w:pPr>
    </w:p>
    <w:p>
      <w:pPr>
        <w:ind w:left="120"/>
        <w:spacing w:after="0"/>
        <w:tabs>
          <w:tab w:leader="none" w:pos="1040" w:val="left"/>
          <w:tab w:leader="none" w:pos="38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per ordinary share and US$</w:t>
      </w:r>
      <w:r>
        <w:rPr>
          <w:sz w:val="20"/>
          <w:szCs w:val="20"/>
          <w:color w:val="auto"/>
        </w:rPr>
        <w:tab/>
      </w:r>
      <w:r>
        <w:rPr>
          <w:rFonts w:ascii="Arial" w:cs="Arial" w:eastAsia="Arial" w:hAnsi="Arial"/>
          <w:sz w:val="17"/>
          <w:szCs w:val="17"/>
          <w:color w:val="auto"/>
        </w:rPr>
        <w:t>per ADS, assuming no change to the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940"/>
        <w:spacing w:after="0" w:line="246" w:lineRule="auto"/>
        <w:rPr>
          <w:sz w:val="20"/>
          <w:szCs w:val="20"/>
          <w:color w:val="auto"/>
        </w:rPr>
      </w:pPr>
      <w:r>
        <w:rPr>
          <w:rFonts w:ascii="Arial" w:cs="Arial" w:eastAsia="Arial" w:hAnsi="Arial"/>
          <w:sz w:val="18"/>
          <w:szCs w:val="18"/>
          <w:color w:val="auto"/>
        </w:rPr>
        <w:t>number of ADSs offered by us as set forth on the front cover of this prospectus, and after deducting underwriting discounts and commissions and estimated offering expenses payable by us.</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following table summarizes, on a pro forma as adjusted basis as of March 31, 2021, the differences between existing shareholders and the new investors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Class A ordinary shares underlying the ADSs issuable upon the exercise of the over-allotment option granted to the underwriters.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Ordinary Shares</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960" w:type="dxa"/>
            <w:vAlign w:val="bottom"/>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Price Per</w:t>
            </w:r>
          </w:p>
        </w:tc>
        <w:tc>
          <w:tcPr>
            <w:tcW w:w="380" w:type="dxa"/>
            <w:vAlign w:val="bottom"/>
          </w:tcPr>
          <w:p>
            <w:pPr>
              <w:spacing w:after="0"/>
              <w:rPr>
                <w:sz w:val="8"/>
                <w:szCs w:val="8"/>
                <w:color w:val="auto"/>
              </w:rPr>
            </w:pPr>
          </w:p>
        </w:tc>
        <w:tc>
          <w:tcPr>
            <w:tcW w:w="10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8"/>
        </w:trPr>
        <w:tc>
          <w:tcPr>
            <w:tcW w:w="3960" w:type="dxa"/>
            <w:vAlign w:val="bottom"/>
          </w:tcPr>
          <w:p>
            <w:pPr>
              <w:spacing w:after="0"/>
              <w:rPr>
                <w:sz w:val="5"/>
                <w:szCs w:val="5"/>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Purchased</w:t>
            </w:r>
          </w:p>
        </w:tc>
        <w:tc>
          <w:tcPr>
            <w:tcW w:w="400" w:type="dxa"/>
            <w:vAlign w:val="bottom"/>
          </w:tcPr>
          <w:p>
            <w:pPr>
              <w:spacing w:after="0"/>
              <w:rPr>
                <w:sz w:val="5"/>
                <w:szCs w:val="5"/>
                <w:color w:val="auto"/>
              </w:rPr>
            </w:pPr>
          </w:p>
        </w:tc>
        <w:tc>
          <w:tcPr>
            <w:tcW w:w="2300" w:type="dxa"/>
            <w:vAlign w:val="bottom"/>
            <w:gridSpan w:val="4"/>
            <w:vMerge w:val="restart"/>
          </w:tcPr>
          <w:p>
            <w:pPr>
              <w:jc w:val="right"/>
              <w:ind w:right="570"/>
              <w:spacing w:after="0"/>
              <w:rPr>
                <w:sz w:val="20"/>
                <w:szCs w:val="20"/>
                <w:color w:val="auto"/>
              </w:rPr>
            </w:pPr>
            <w:r>
              <w:rPr>
                <w:rFonts w:ascii="Arial" w:cs="Arial" w:eastAsia="Arial" w:hAnsi="Arial"/>
                <w:sz w:val="14"/>
                <w:szCs w:val="14"/>
                <w:b w:val="1"/>
                <w:bCs w:val="1"/>
                <w:color w:val="auto"/>
              </w:rPr>
              <w:t>Total Consideration</w:t>
            </w:r>
          </w:p>
        </w:tc>
        <w:tc>
          <w:tcPr>
            <w:tcW w:w="1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960" w:type="dxa"/>
            <w:vAlign w:val="bottom"/>
          </w:tcPr>
          <w:p>
            <w:pPr>
              <w:spacing w:after="0"/>
              <w:rPr>
                <w:sz w:val="9"/>
                <w:szCs w:val="9"/>
                <w:color w:val="auto"/>
              </w:rPr>
            </w:pPr>
          </w:p>
        </w:tc>
        <w:tc>
          <w:tcPr>
            <w:tcW w:w="170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Ordinary</w:t>
            </w:r>
          </w:p>
        </w:tc>
        <w:tc>
          <w:tcPr>
            <w:tcW w:w="380" w:type="dxa"/>
            <w:vAlign w:val="bottom"/>
          </w:tcPr>
          <w:p>
            <w:pPr>
              <w:spacing w:after="0"/>
              <w:rPr>
                <w:sz w:val="9"/>
                <w:szCs w:val="9"/>
                <w:color w:val="auto"/>
              </w:rPr>
            </w:pPr>
          </w:p>
        </w:tc>
        <w:tc>
          <w:tcPr>
            <w:tcW w:w="10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34"/>
        </w:trPr>
        <w:tc>
          <w:tcPr>
            <w:tcW w:w="39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6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Percent</w:t>
            </w:r>
          </w:p>
        </w:tc>
        <w:tc>
          <w:tcPr>
            <w:tcW w:w="400" w:type="dxa"/>
            <w:vAlign w:val="bottom"/>
          </w:tcPr>
          <w:p>
            <w:pPr>
              <w:spacing w:after="0"/>
              <w:rPr>
                <w:sz w:val="15"/>
                <w:szCs w:val="15"/>
                <w:color w:val="auto"/>
              </w:rPr>
            </w:pPr>
          </w:p>
        </w:tc>
        <w:tc>
          <w:tcPr>
            <w:tcW w:w="1000" w:type="dxa"/>
            <w:vAlign w:val="bottom"/>
          </w:tcPr>
          <w:p>
            <w:pPr>
              <w:ind w:left="240"/>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5"/>
                <w:szCs w:val="15"/>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5"/>
                <w:szCs w:val="15"/>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3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US$</w:t>
            </w:r>
          </w:p>
        </w:tc>
        <w:tc>
          <w:tcPr>
            <w:tcW w:w="130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US$</w:t>
            </w:r>
          </w:p>
        </w:tc>
        <w:tc>
          <w:tcPr>
            <w:tcW w:w="146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US$</w:t>
            </w:r>
          </w:p>
        </w:tc>
        <w:tc>
          <w:tcPr>
            <w:tcW w:w="1300" w:type="dxa"/>
            <w:vAlign w:val="bottom"/>
            <w:gridSpan w:val="3"/>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pro forma as adjusted information discussed above is illustrative only. Our net tangible book value following the completion of this offering is subject to adjustment based on the actual initial public offering price of the ADSs and other terms of this offering determined at pricing.</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discussion and tables above assume no exercise of any share options outstanding and no exercise of the warrant to purchase 153,570 ordinary shares by China Equities HK Limited as of the date of this prospectus. As of the date of this prospectus, there are 19,728,141 ordinary shares issuable upon exercise of outstanding share options with exercise prices ranging from US$0.03 per share to US$2.8 per share, and there are 2,192,823 ordinary shares available for future issuance upon the exercise of future grants under our 2016 Plan. As of the date of this prospectus, there are 2,964,091 ordinary shares to be issued for vested restricted share units, and there are 3,211,098 ordinary shares available for future issuance upon the exercise/vesting of future grants under our 2021 Plan. To the extent that any of these options are exercised, there will be further dilution to new investors.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w:t>
      </w:r>
    </w:p>
    <w:p>
      <w:pPr>
        <w:spacing w:after="0" w:line="126"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102"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w:t>
      </w:r>
    </w:p>
    <w:p>
      <w:pPr>
        <w:ind w:left="120"/>
        <w:spacing w:after="0"/>
        <w:rPr>
          <w:sz w:val="20"/>
          <w:szCs w:val="20"/>
          <w:color w:val="auto"/>
        </w:rPr>
      </w:pPr>
      <w:r>
        <w:rPr>
          <w:rFonts w:ascii="Arial" w:cs="Arial" w:eastAsia="Arial" w:hAnsi="Arial"/>
          <w:sz w:val="18"/>
          <w:szCs w:val="18"/>
          <w:color w:val="auto"/>
        </w:rPr>
        <w:t>to:</w:t>
      </w:r>
    </w:p>
    <w:p>
      <w:pPr>
        <w:spacing w:after="0" w:line="117" w:lineRule="exact"/>
        <w:rPr>
          <w:sz w:val="20"/>
          <w:szCs w:val="20"/>
          <w:color w:val="auto"/>
        </w:rPr>
      </w:pPr>
    </w:p>
    <w:p>
      <w:pPr>
        <w:ind w:left="880" w:right="260" w:hanging="224"/>
        <w:spacing w:after="0" w:line="24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12"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 majority of our assets and operations are located in China. All of our directors and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202"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We have appointed Cogency Global Inc., located at 122 East 42nd Street, 18th Floor, New York, NY 10168, as our agent upon whom process may be served in any action brought against us under the securities laws of the United States.</w:t>
      </w:r>
    </w:p>
    <w:p>
      <w:pPr>
        <w:spacing w:after="0" w:line="197"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Maples and Calder (Hong Kong) LLP, our Cayman Islands counsel, has advised us that there is uncertainty as to whether the courts of the Cayman Islands would (i) recognize or enforce judgments of U.S. courts obtained against us or our directors or officers that are predicated upon the civil liability provisions of the federal securities laws of the United States or the securities laws of any state in the United States, or (ii) entertain original actions brought in the Cayman Islands against us or our directors or officers that are predicated upon the federal securities laws of the United States or the securities laws of any state in the United States.</w:t>
      </w:r>
    </w:p>
    <w:p>
      <w:pPr>
        <w:spacing w:after="0" w:line="202"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color w:val="auto"/>
        </w:rPr>
        <w:t>Maples and Calder (Hong Kong) LLP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will, at common law, recognize and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enforce a foreign money judgment of a foreign court of competent jurisdiction without any re-examination of the merits of the underlying dispute based on the principle that the judgment of the competent foreign court imposes upon the judgment debtor a liability to pay a liquidated sum for which such judgment has been given, provided such judgment (i) is final and conclusive, (ii) is not in respect of taxes, a fine or a penalty, and (iii)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PRC</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Han Kun Law Offices, our PRC counsel, has advised us that there is uncertainty as to whether the courts of China would:</w:t>
      </w:r>
    </w:p>
    <w:p>
      <w:pPr>
        <w:spacing w:after="0" w:line="117" w:lineRule="exact"/>
        <w:rPr>
          <w:sz w:val="20"/>
          <w:szCs w:val="20"/>
          <w:color w:val="auto"/>
        </w:rPr>
      </w:pPr>
    </w:p>
    <w:p>
      <w:pPr>
        <w:ind w:left="880" w:right="140" w:hanging="224"/>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02" w:lineRule="exact"/>
        <w:rPr>
          <w:rFonts w:ascii="Arial" w:cs="Arial" w:eastAsia="Arial" w:hAnsi="Arial"/>
          <w:sz w:val="18"/>
          <w:szCs w:val="18"/>
          <w:color w:val="auto"/>
        </w:rPr>
      </w:pPr>
    </w:p>
    <w:p>
      <w:pPr>
        <w:ind w:left="880" w:right="600" w:hanging="224"/>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97" w:lineRule="exact"/>
        <w:rPr>
          <w:sz w:val="20"/>
          <w:szCs w:val="20"/>
          <w:color w:val="auto"/>
        </w:rPr>
      </w:pPr>
    </w:p>
    <w:p>
      <w:pPr>
        <w:ind w:left="120" w:firstLine="551"/>
        <w:spacing w:after="0" w:line="250" w:lineRule="auto"/>
        <w:rPr>
          <w:sz w:val="20"/>
          <w:szCs w:val="20"/>
          <w:color w:val="auto"/>
        </w:rPr>
      </w:pPr>
      <w:r>
        <w:rPr>
          <w:rFonts w:ascii="Arial" w:cs="Arial" w:eastAsia="Arial" w:hAnsi="Arial"/>
          <w:sz w:val="17"/>
          <w:szCs w:val="17"/>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 It will be, however, difficult for U.S. shareholders to originate actions against us in the PRC in accordance with PRC laws because we are incorporated under the laws of the Cayman Islands and it will be difficult for U.S. shareholders, by virtue only of holding the ADSs or Class A ordinary shares, to establish a connection to the PRC for a PRC court to have jurisdiction as required under the PRC Civil Procedures Law.</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HISTORY AND STRUCTURE</w:t>
      </w:r>
    </w:p>
    <w:p>
      <w:pPr>
        <w:spacing w:after="0" w:line="234"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7"/>
          <w:szCs w:val="17"/>
          <w:color w:val="auto"/>
        </w:rPr>
        <w:t>We commenced our operations in 2011 by procuring pre-owned phones and other consumer electronics from consumers through AHS Recycle. In 2014, we expanded to offline channels by opening self-operated AHS stores in popular shopping malls. In 2015, we started cooperating with e-commerce platforms such as JD.com, and consumer electronics brands such as Xiaomi, to attract their user traffic to our offline AHS stores for trade-in. In an attempt to further leverage our supply chain capabilities and quality inspection, grading and pricing capability accumulated in years of our business operations, in late 2017, we launched PJT Marketplace, an online bidding platform where AHS Recycle and third-party merchants sell pre-owned consumer electronics to buyers, primarily small merchants and retailers, and, in 2019, we acquired Paipai Marketplace, a B2C transaction platform for pre-owned products, from JD Group.</w:t>
      </w:r>
    </w:p>
    <w:p>
      <w:pPr>
        <w:spacing w:after="0" w:line="191"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To facilitate our offshore financing, we established our offshore holding structure during the period from November 2011 to August 2012. Specifically, we established AiHuiShou International Co. Ltd., our current holding company, in Cayman Islands in November 2011. Our Cayman holding company further established AiHuiShou International Company Limited, or AiHuiShou HK, as its wholly-owned subsidiary in Hong Kong in January 2012. In August 2012, AiHuiShou HK further established a wholly-owned subsidiary, Shanghai Aihui Trading Co., Ltd., or Shanghai Aihui, in China.</w:t>
      </w:r>
    </w:p>
    <w:p>
      <w:pPr>
        <w:spacing w:after="0" w:line="202" w:lineRule="exact"/>
        <w:rPr>
          <w:sz w:val="20"/>
          <w:szCs w:val="20"/>
          <w:color w:val="auto"/>
        </w:rPr>
      </w:pPr>
    </w:p>
    <w:p>
      <w:pPr>
        <w:ind w:left="120" w:right="80" w:firstLine="551"/>
        <w:spacing w:after="0" w:line="207" w:lineRule="exact"/>
        <w:rPr>
          <w:sz w:val="20"/>
          <w:szCs w:val="20"/>
          <w:color w:val="auto"/>
        </w:rPr>
      </w:pPr>
      <w:r>
        <w:rPr>
          <w:rFonts w:ascii="Arial" w:cs="Arial" w:eastAsia="Arial" w:hAnsi="Arial"/>
          <w:sz w:val="17"/>
          <w:szCs w:val="17"/>
          <w:color w:val="auto"/>
        </w:rPr>
        <w:t>After we established our offshore holding structure in August 2012, we obtained control over Shanghai Wanwuxinsheng Environmental Protection Technology Group Co., Ltd., or Shanghai Wanwuxinsheng, a company jointly established by Mr. Kerry Xuefeng Chen and Mr. Wenjun Sun in China in May 2010 under the name of Shanghai Yueyee Network Information Technology Co., Ltd. (</w:t>
      </w:r>
      <w:r>
        <w:rPr>
          <w:rFonts w:ascii="SimSun" w:cs="SimSun" w:eastAsia="SimSun" w:hAnsi="SimSun"/>
          <w:sz w:val="15"/>
          <w:szCs w:val="15"/>
          <w:color w:val="auto"/>
        </w:rPr>
        <w:t>上海悦易</w:t>
      </w:r>
    </w:p>
    <w:p>
      <w:pPr>
        <w:spacing w:after="0" w:line="14" w:lineRule="exact"/>
        <w:rPr>
          <w:sz w:val="20"/>
          <w:szCs w:val="20"/>
          <w:color w:val="auto"/>
        </w:rPr>
      </w:pPr>
    </w:p>
    <w:p>
      <w:pPr>
        <w:ind w:left="120"/>
        <w:spacing w:after="0" w:line="207" w:lineRule="exact"/>
        <w:rPr>
          <w:sz w:val="20"/>
          <w:szCs w:val="20"/>
          <w:color w:val="auto"/>
        </w:rPr>
      </w:pPr>
      <w:r>
        <w:rPr>
          <w:rFonts w:ascii="SimSun" w:cs="SimSun" w:eastAsia="SimSun" w:hAnsi="SimSun"/>
          <w:sz w:val="16"/>
          <w:szCs w:val="16"/>
          <w:color w:val="auto"/>
        </w:rPr>
        <w:t>网络信息技术有限公司</w:t>
      </w:r>
      <w:r>
        <w:rPr>
          <w:rFonts w:ascii="Arial" w:cs="Arial" w:eastAsia="Arial" w:hAnsi="Arial"/>
          <w:sz w:val="18"/>
          <w:szCs w:val="18"/>
          <w:color w:val="auto"/>
        </w:rPr>
        <w:t>), by entering into a set of contractual arrangements between Shanghai Aihui, Shanghai Wanwuxinsheng and the</w:t>
      </w:r>
    </w:p>
    <w:p>
      <w:pPr>
        <w:spacing w:after="0" w:line="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shareholders of Shanghai Wanwuxinsheng in August 2012. The contractual arrangements were supplemented, amended or restated several times and the latest set of contractual arrangements consist of (i) the exclusive technology consulting and management service agreement and a supplement agreement allowing us to receive all economic benefits of Shanghai Wanwuxinsheng, (ii) the business operation agreement allowing us to control the business operations and management of Shanghai Wanwuxinsheng, (iii) the third amended and restated option purchase agreements granting us an option to acquire all equity interests of Shanghai Wanwuxinsheng, (iv) the third amended and restated share pledge agreement pledging us all equity interests of Shanghai Wanwuxinsheng to guarantee the performance of obligations by Shanghai Wanwuxinsheng and its shareholders under the contractual arrangements, (v) the voting proxy agreement granting us all rights as the shareholders of Shanghai Wanwuxinsheng, (vi) the amended and restated powers of attorney executed by each of the shareholders of Shanghai Wanwuxinsheng irrevocably delegating us the full power to act as shareholders of Shanghai Wanwuxinsheng, and (vii) the spousal consent letters executed by each of the spouses of Mr. Kerry Xuefeng Chen and Mr. Wenjun Sun. Shanghai Wanwuxinsheng is the primary entity through which we carry out our research and development activities and innovation and provide back office supports to our business operations.</w:t>
      </w:r>
    </w:p>
    <w:p>
      <w:pPr>
        <w:spacing w:after="0" w:line="204" w:lineRule="exact"/>
        <w:rPr>
          <w:sz w:val="20"/>
          <w:szCs w:val="20"/>
          <w:color w:val="auto"/>
        </w:rPr>
      </w:pPr>
    </w:p>
    <w:p>
      <w:pPr>
        <w:ind w:left="120" w:right="140" w:firstLine="551"/>
        <w:spacing w:after="0" w:line="224" w:lineRule="exact"/>
        <w:rPr>
          <w:sz w:val="20"/>
          <w:szCs w:val="20"/>
          <w:color w:val="auto"/>
        </w:rPr>
      </w:pPr>
      <w:r>
        <w:rPr>
          <w:rFonts w:ascii="Arial" w:cs="Arial" w:eastAsia="Arial" w:hAnsi="Arial"/>
          <w:sz w:val="17"/>
          <w:szCs w:val="17"/>
          <w:color w:val="auto"/>
        </w:rPr>
        <w:t>Shanghai Wanwuxinsheng further established in China (i) Shanghai Yueyi Network Information Technology Co., Ltd. (</w:t>
      </w:r>
      <w:r>
        <w:rPr>
          <w:rFonts w:ascii="SimSun" w:cs="SimSun" w:eastAsia="SimSun" w:hAnsi="SimSun"/>
          <w:sz w:val="15"/>
          <w:szCs w:val="15"/>
          <w:color w:val="auto"/>
        </w:rPr>
        <w:t>上海悦亿网络信息技术有限公司</w:t>
      </w:r>
      <w:r>
        <w:rPr>
          <w:rFonts w:ascii="Arial" w:cs="Arial" w:eastAsia="Arial" w:hAnsi="Arial"/>
          <w:sz w:val="17"/>
          <w:szCs w:val="17"/>
          <w:color w:val="auto"/>
        </w:rPr>
        <w:t>) in September 2015 and (ii) Changzhou Yueyi Network Information Technology Co., Ltd., or Changzhou Yueyi, in June</w:t>
      </w:r>
    </w:p>
    <w:p>
      <w:pPr>
        <w:spacing w:after="0" w:line="13"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2017. Shanghai Yueyi mainly operates our own offline AHS stores in the AHS store network and our PJT and Paipai online marketplaces, as well as other innovative businesses. Changzhou Yueyi mainly engages in the collection of pre-owned consumer electronics sourced from JD Group’s e-commerce platforms, our brand partners and distributor partners.</w:t>
      </w:r>
    </w:p>
    <w:p>
      <w:pPr>
        <w:spacing w:after="0" w:line="203"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In March 2017, we started to expand our business to overseas market and established AHS Device Hong Kong (formerly known as Shanghai Yueyi Network (HK) Co., Limited and Aihuishou</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Global Co., Limited), or AHS Device HK, in Hong Kong as the primarily entity operating our overseas business.</w:t>
      </w:r>
    </w:p>
    <w:p>
      <w:pPr>
        <w:spacing w:after="0" w:line="212"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The following diagram illustrates our corporate structure as of the date of this prospectus consisting of our principal subsidiaries, our variable interest entities and principal subsidiaries of our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5983605" cy="36093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83605" cy="360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40" w:hanging="424"/>
        <w:spacing w:after="0" w:line="241"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Shanghai Wanwuxinsheng Environmental Protection Technology Group Co., Ltd. is 72.3425% owned by Mr. Kerry Xuefeng Chen, our co-founder, chairman and chief executive officer, and 27.6575% owned by Mr. Wenjun Sun, our co-founder. Both Mr. Chen and Mr. Sun are beneficial owners of our company.</w:t>
      </w:r>
    </w:p>
    <w:p>
      <w:pPr>
        <w:ind w:left="540" w:hanging="424"/>
        <w:spacing w:after="0" w:line="258"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Shenzhen Lvchuang Network Technology Co., Ltd. is wholly owned by Mr. Haichen Shen, our employee. Shenzhen Lvchuang Network Technology Co., Ltd. currently does not engage in any business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w:t>
      </w:r>
    </w:p>
    <w:p>
      <w:pPr>
        <w:spacing w:after="0" w:line="23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7"/>
          <w:szCs w:val="17"/>
          <w:color w:val="auto"/>
        </w:rPr>
        <w:t>PRC laws and regulations impose ownership and other restrictions on foreign investors’ investment in certain businesses and industries, such as internet-based businesses such as distribution of online information, value-added telecommunications services. We are a Cayman Islands company and our PRC subsidiary is considered a foreign-invested enterprise. To comply with PRC laws and regulations, we conduct certain of our business through Shanghai Wanwuxinsheng, which holds the license for conducting certain value-added telecommunications services in China. We entered into a series of contractual arrangements with Shanghai Wanwuxinsheng and its shareholders through Shanghai Aihui, our wholly owned subsidiary in China. The contractual arrangements allow us to (i) exercise effective control over Shanghai Wanwuxinsheng and its subsidiaries, (ii) receive all economic benefits of Shanghai Wanwuxinsheng; and</w:t>
      </w:r>
    </w:p>
    <w:p>
      <w:pPr>
        <w:spacing w:after="0" w:line="4" w:lineRule="exact"/>
        <w:rPr>
          <w:sz w:val="20"/>
          <w:szCs w:val="20"/>
          <w:color w:val="auto"/>
        </w:rPr>
      </w:pPr>
    </w:p>
    <w:p>
      <w:pPr>
        <w:ind w:left="120" w:hanging="4"/>
        <w:spacing w:after="0" w:line="246" w:lineRule="auto"/>
        <w:tabs>
          <w:tab w:leader="none" w:pos="4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Shanghai Wanwuxinsheng when and to the extent permitted by PRC laws and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regulations. We also entered into a similar set of contractual arrangements with Shenzhen Lvchuang Network Technology Co. Ltd., or Shenzhen Lvchuang, through Shanghai Aihui. As a result of these contractual arrangements, we have become the primary beneficiary of Shanghai Wanwuxinsheng and Shenzhen Lvhuang, and we treat Shanghai Wanwuxinsheng and Shenzhen Lvhuang as our variable interest entities under U.S. GAAP. We have consolidated the financial results of Shenzhen Lvchuang, Shanghai Wanwuxinsheng and its subsidiaries in our consolidated financial statements in accordance with U.S. GAAP.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Shanghai Wanwuxinsheng</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The following is a summary of the currently effective contractual arrangements by and among Shanghai Aihui, our wholly owned subsidiary in China, Shanghai Wanwuxinsheng, our variable interest entity, and the shareholders of Shanghai Wanwuxinsheng.</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Agreements that provide us with effective control over Shanghai Wanwuxinsheng</w:t>
      </w:r>
    </w:p>
    <w:p>
      <w:pPr>
        <w:spacing w:after="0" w:line="10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Voting Proxy Agreement</w:t>
      </w:r>
      <w:r>
        <w:rPr>
          <w:rFonts w:ascii="Arial" w:cs="Arial" w:eastAsia="Arial" w:hAnsi="Arial"/>
          <w:sz w:val="18"/>
          <w:szCs w:val="18"/>
          <w:color w:val="auto"/>
        </w:rPr>
        <w:t>. Pursuant to the voting proxy agreement dated August 31, 2012, among Shanghai Aihui, Shanghai</w:t>
      </w:r>
      <w:r>
        <w:rPr>
          <w:rFonts w:ascii="Arial" w:cs="Arial" w:eastAsia="Arial" w:hAnsi="Arial"/>
          <w:sz w:val="18"/>
          <w:szCs w:val="18"/>
          <w:i w:val="1"/>
          <w:iCs w:val="1"/>
          <w:color w:val="auto"/>
        </w:rPr>
        <w:t xml:space="preserve"> </w:t>
      </w:r>
      <w:r>
        <w:rPr>
          <w:rFonts w:ascii="Arial" w:cs="Arial" w:eastAsia="Arial" w:hAnsi="Arial"/>
          <w:sz w:val="18"/>
          <w:szCs w:val="18"/>
          <w:color w:val="auto"/>
        </w:rPr>
        <w:t>Wanwuxinsheng and the shareholders of Shanghai Wanwuxinsheng, each of the shareholders of Shanghai Wanwuxinsheng will execute a power of attorney to irrevocably authorize Shanghai Aihui, or any person designated by Shanghai Aihui, to act as its attorney-in-fact to exercise all of his rights as a shareholder of Shanghai Wanwuxinsheng, including, but not limited to, the right to (i) propose, convene and attend shareholders’ meetings, (ii) exercise shareholders’ voting rights, including, but not limited to, making decision on the sale or transfer part or all of the equity interests of such shareholder, (iii) designate or elect the legal representative, directors, general manager and other senior management, and (v) sign resolutions and other documents related to the exercise of the above rights. Unless otherwise terminated by Shanghai Aihui, the voting proxy agreement will remain effective so long as Shanghai Wanwuxinsheng exists. Shanghai Wanwuxinsheng and the shareholders of Shanghai Wanwuxinsheng have no right to terminate this agreement under any circumstances.</w:t>
      </w:r>
    </w:p>
    <w:p>
      <w:pPr>
        <w:spacing w:after="0" w:line="191"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i w:val="1"/>
          <w:iCs w:val="1"/>
          <w:color w:val="auto"/>
        </w:rPr>
        <w:t xml:space="preserve">Amended and Restated Powers of Attorney. </w:t>
      </w:r>
      <w:r>
        <w:rPr>
          <w:rFonts w:ascii="Arial" w:cs="Arial" w:eastAsia="Arial" w:hAnsi="Arial"/>
          <w:sz w:val="18"/>
          <w:szCs w:val="18"/>
          <w:color w:val="auto"/>
        </w:rPr>
        <w:t>Pursuant to the amended and restated powers of attorney executed by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Shanghai Wanwuxinsheng on March 12, 2021, each of the shareholders of Shanghai Wanwuxinsheng irrevocably authorize Shanghai Aihui to act on his behalf as the only exclusive agent and attorney to exercise all rights as the shareholders of Shanghai Wanwuxinsheng, including but not limited to, (i) making decisions as shareholders of Shanghai Wanwuxinsheng, (ii) exercising all rights under relevant PRC laws and the articles of association of Shanghai Wanwuxinsheng as the shareholders of Shanghai Wanwuxinsheng, (iii) handling the sale, transfer, pledge or disposal of the shareholder’s equity interests in Shanghai Wanwuxinsheng (in all or in part), including but not limited to signing all necessary equity transfer documents, other documents for disposing of the shareholder’s equity interests in Shanghai Wanwuxinsheng and handling all necessary procedures on behalf of the shareholder, (iv) in the name and on behalf of the shareholder, signing any resolutions and meeting minutes as a shareholder of Shanghai Wanwuxinsheng,</w:t>
      </w:r>
    </w:p>
    <w:p>
      <w:pPr>
        <w:spacing w:after="0" w:line="1" w:lineRule="exact"/>
        <w:rPr>
          <w:sz w:val="20"/>
          <w:szCs w:val="20"/>
          <w:color w:val="auto"/>
        </w:rPr>
      </w:pPr>
    </w:p>
    <w:p>
      <w:pPr>
        <w:ind w:left="120" w:right="40" w:hanging="4"/>
        <w:spacing w:after="0" w:line="255"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on behalf of the shareholder, nominating, electing, designating, appointing and removing the legal representative, directors, supervisors, general manager, chief financial officer and other senior management personnel of Shanghai Wanwuxinsheng, (vi) approving the amendment of the articles of association of Shanghai Wanwuxinsheng, and (vii) other matters agreed in the voting proxy agreement, if any. Without the written consent of Shanghai Aihui, the shareholders of Shanghai Wanwuxinsheng have no right to increase or decrease, transfer, pledge, re-pledge, or otherwise dispose of or change the shareholders’ equity interests in Shanghai Wanwuxinsheng.</w:t>
      </w:r>
    </w:p>
    <w:p>
      <w:pPr>
        <w:spacing w:after="0" w:line="172" w:lineRule="exact"/>
        <w:rPr>
          <w:sz w:val="20"/>
          <w:szCs w:val="20"/>
          <w:color w:val="auto"/>
        </w:rPr>
      </w:pPr>
    </w:p>
    <w:p>
      <w:pPr>
        <w:ind w:left="120" w:right="480" w:firstLine="551"/>
        <w:spacing w:after="0" w:line="267" w:lineRule="auto"/>
        <w:rPr>
          <w:sz w:val="20"/>
          <w:szCs w:val="20"/>
          <w:color w:val="auto"/>
        </w:rPr>
      </w:pPr>
      <w:r>
        <w:rPr>
          <w:rFonts w:ascii="Arial" w:cs="Arial" w:eastAsia="Arial" w:hAnsi="Arial"/>
          <w:sz w:val="18"/>
          <w:szCs w:val="18"/>
          <w:i w:val="1"/>
          <w:iCs w:val="1"/>
          <w:color w:val="auto"/>
        </w:rPr>
        <w:t xml:space="preserve">Spousal Consent Letters. </w:t>
      </w:r>
      <w:r>
        <w:rPr>
          <w:rFonts w:ascii="Arial" w:cs="Arial" w:eastAsia="Arial" w:hAnsi="Arial"/>
          <w:sz w:val="18"/>
          <w:szCs w:val="18"/>
          <w:color w:val="auto"/>
        </w:rPr>
        <w:t>Pursuant to the spousal consent letters executed by the spouses of the shareholders of Shanghai</w:t>
      </w:r>
      <w:r>
        <w:rPr>
          <w:rFonts w:ascii="Arial" w:cs="Arial" w:eastAsia="Arial" w:hAnsi="Arial"/>
          <w:sz w:val="18"/>
          <w:szCs w:val="18"/>
          <w:i w:val="1"/>
          <w:iCs w:val="1"/>
          <w:color w:val="auto"/>
        </w:rPr>
        <w:t xml:space="preserve"> </w:t>
      </w:r>
      <w:r>
        <w:rPr>
          <w:rFonts w:ascii="Arial" w:cs="Arial" w:eastAsia="Arial" w:hAnsi="Arial"/>
          <w:sz w:val="18"/>
          <w:szCs w:val="18"/>
          <w:color w:val="auto"/>
        </w:rPr>
        <w:t>Wanwuxinsheng on March 12, 2021, the signing spouses undertake they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will not assert any rights with respect to the equity interests held by the shareholders of Shanghai Wanwuxinsheng, and that they will sign any necessary documents and take any necessary actions to ensure the proper performance and implementation of the voting proxy agreement, powers of attorney, the third amended and restated share pledge agreement, and the third amended and restated option purchase agreements, all of which may be amended or restated from time to time. The signing spouses also undertake that in the event that they obtain any equity interest in Shanghai Wanwuxinsheng from their respective spouse for any reason, they agree to be bound by and sign any legal documents substantially similar to the contractual arrangements described above, as may be amended from time to time.</w:t>
      </w:r>
    </w:p>
    <w:p>
      <w:pPr>
        <w:spacing w:after="0" w:line="18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i w:val="1"/>
          <w:iCs w:val="1"/>
          <w:color w:val="auto"/>
        </w:rPr>
        <w:t xml:space="preserve">Third Amended and Restated Share Pledge Agreement. </w:t>
      </w:r>
      <w:r>
        <w:rPr>
          <w:rFonts w:ascii="Arial" w:cs="Arial" w:eastAsia="Arial" w:hAnsi="Arial"/>
          <w:sz w:val="18"/>
          <w:szCs w:val="18"/>
          <w:color w:val="auto"/>
        </w:rPr>
        <w:t>Shanghai Aihui and the shareholders of Shanghai Wanwuxinsheng</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the third amended and restated share pledge agreement on December 7, 2020. Pursuant to this agreement, shareholders of Shanghai Wanwuxinsheng have agreed to pledge all of their respective equity interests in Shanghai Wanwuxinsheng to Shanghai Aihui to guarantee the performance of obligations by Shanghai Wanwuxinsheng and its shareholders under the exclusive technology consulting and management service agreement, the business operation agreement, the voting proxy agreement, the amended and restated powers of attorney and the third amended and restated option purchase agreements. In the event of a breach by Shanghai Wanwuxinsheng or its shareholders of their contractual obligations under those agreements, Shanghai Aihui, as pledgee, will have the right to dispose of the pledged equity interests in Shanghai Wanwuxinsheng and get compensated from the proceeds of such disposal. The shareholders of Shanghai Wanwuxinsheng also undertake that, during the term of the third amended and restated share pledge agreement, unless otherwise approved by Shanghai Aihui in writing, they will not transfer or otherwise dispose of the pledged equity interests, create or allow any other encumbrance on the pledged equity interests or change or allow the change of the pledged equity interests that may decrease the value of the pledged equity interests. The third amended and restated share pledge agreement will remain effective until the exclusive technology consulting and management service agreement, the business operation agreement, the voting proxy agreement, the amended and restated powers of attorney and the third amended and restated option purchase agreements are terminated and Shanghai Wanwuxinsheng and the shareholders of Shanghai Wanwuxinsheng discharge all their contractual obligations under these agreements. All such equity pledges have been registered with the local branch of the SAMR in accordance with PRC laws to perfect their respective equity pledges.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 that allows us to receive economic benefits of Shanghai Wanwuxinsheng</w:t>
      </w:r>
    </w:p>
    <w:p>
      <w:pPr>
        <w:spacing w:after="0" w:line="104" w:lineRule="exact"/>
        <w:rPr>
          <w:sz w:val="20"/>
          <w:szCs w:val="20"/>
          <w:color w:val="auto"/>
        </w:rPr>
      </w:pPr>
    </w:p>
    <w:p>
      <w:pPr>
        <w:ind w:left="120" w:right="40" w:firstLine="551"/>
        <w:spacing w:after="0" w:line="259" w:lineRule="auto"/>
        <w:rPr>
          <w:sz w:val="20"/>
          <w:szCs w:val="20"/>
          <w:color w:val="auto"/>
        </w:rPr>
      </w:pPr>
      <w:r>
        <w:rPr>
          <w:rFonts w:ascii="Arial" w:cs="Arial" w:eastAsia="Arial" w:hAnsi="Arial"/>
          <w:sz w:val="17"/>
          <w:szCs w:val="17"/>
          <w:i w:val="1"/>
          <w:iCs w:val="1"/>
          <w:color w:val="auto"/>
        </w:rPr>
        <w:t xml:space="preserve">Exclusive Technology Consulting and Management Service Agreement. </w:t>
      </w:r>
      <w:r>
        <w:rPr>
          <w:rFonts w:ascii="Arial" w:cs="Arial" w:eastAsia="Arial" w:hAnsi="Arial"/>
          <w:sz w:val="17"/>
          <w:szCs w:val="17"/>
          <w:color w:val="auto"/>
        </w:rPr>
        <w:t>Shanghai Aihui and Shanghai Wanwuxinsheng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(i) an exclusive technology consulting and management service agreement on August 31, 2012, or Exclusive Service Agreement, and</w:t>
      </w:r>
    </w:p>
    <w:p>
      <w:pPr>
        <w:spacing w:after="0" w:line="1" w:lineRule="exact"/>
        <w:rPr>
          <w:sz w:val="20"/>
          <w:szCs w:val="20"/>
          <w:color w:val="auto"/>
        </w:rPr>
      </w:pPr>
    </w:p>
    <w:p>
      <w:pPr>
        <w:ind w:left="120" w:hanging="4"/>
        <w:spacing w:after="0" w:line="236" w:lineRule="auto"/>
        <w:tabs>
          <w:tab w:leader="none" w:pos="3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fifth supplemental agreement to the exclusive technology consulting and management service agreement on March 12, 2021, or the Fifth Supplemental Agreement, which supplements the exclusive technology consulting and management service agreement dated August 31, 2012 and replaces all previous supplemental agreements. Pursuant to the Exclusive Service Agreement and the Fifth Supplemental Agreement, Shanghai Aihui has the exclusive right to provide Shanghai Wanwuxinsheng with technical consulting and management services including, among other things, software development and maintenance, internet technical support, database and network security services and other technical consulting and services. Without Shanghai Aihui’s prior written consent, Shanghai Wanwuxinsheng is not allowed to accept any technical consulting and management services from any third party during the term of the Exclusive Service Agreement. Shanghai Aihui has the exclusive ownership and rights to all the intellectual property rights created as a result of the performance of the Exclusive Service Agreement. Shanghai Wanwuxinsheng agrees to pay Shanghai Aihui an amount determined based on the services provided, the development and operating conditions of Shanghai Wanwuxinsheng, and shall equal to all pre-tax income of Shanghai Wanwuxinsheng. The Exclusive Service Agreement will remain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effective for ten years and is renewable. Shanghai Aihui can terminate the Exclusive Service Agreement at any time by giving a 30-day prior written termination notice to Shanghai Wanwuxinsheng, while Shanghai Wanwuxinsheng shall not terminate the Exclusive Service Agreement within the effective period such agreement.</w:t>
      </w:r>
    </w:p>
    <w:p>
      <w:pPr>
        <w:spacing w:after="0" w:line="18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i w:val="1"/>
          <w:iCs w:val="1"/>
          <w:color w:val="auto"/>
        </w:rPr>
        <w:t>Business Operation Agreement</w:t>
      </w:r>
      <w:r>
        <w:rPr>
          <w:rFonts w:ascii="Arial" w:cs="Arial" w:eastAsia="Arial" w:hAnsi="Arial"/>
          <w:sz w:val="18"/>
          <w:szCs w:val="18"/>
          <w:color w:val="auto"/>
        </w:rPr>
        <w:t>. Shanghai Aihui, Shanghai Wanwuxinsheng and the shareholders of Shanghai Wanwuxinsheng</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 business operation agreement on August 31, 2012. Pursuant to the agreement, the shareholders of Shanghai Wanwuxinsheng covenant that, unless approved by Shanghai Aihui in writing in advance, Shanghai Wanwuxinsheng will not conduct any transactions that may materially or adversely affect its assets, business, personnel, obligations, rights or company operations, including, without limitation, carrying out any activities beyond the normal business scope of Shanghai Wanwuxinsheng; borrowing any loan from any third party or assuming any debt; changing or dismissing any director or officer, selling to or acquiring from any third party any assets or rights, including, without limitation, intellectual property rights; providing any form of collaterals on top of its assets or intellectual property or creating any encumbrance on the assets of Shanghai Wanwuxinsheng; modifying the articles of association or business scope of Shanghai Wanwuxinsheng; changing normal business procedures or amending any important internal policies and procedures; assigning the rights and obligations under this agreement to any third party. Shanghai Wanwuxinsheng and the shareholders of Shanghai Wanwuxinsheng also undertake to strictly follow the guidance of Shanghai Aihui in recruitment and dismissal of employees, daily operations and financial management system of Shanghai Wanwuxinsheng. Shanghai Wanwuxinsheng and the shareholders of Shanghai Wanwuxinsheng further undertake to appoint directors, general manager, finance director and other senior management designated by Shanghai Aihui and ensure the chairman designated by Shanghai Aihui be appointed chairman of Shanghai Wanwuxinsheng. The shareholders of Shanghai Wanwuxinsheng also agree that any dividends or other interests or benefits received by them as the shareholders of Shanghai Wanwuxinsheng will be transferred to Shanghai Aihui unconditionally. The business operation agreement will remain effective for an initial ten years unless terminated by Shanghai Aihui in advance. Before the expiration of this agreement, upon request by Shanghai Aihui, this agreement shall be renewed or replaced by a new business operation agreement.</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 that provides us with an exclusive option to purchase the equity interest in Shanghai Wanwuxinsheng</w:t>
      </w:r>
    </w:p>
    <w:p>
      <w:pPr>
        <w:spacing w:after="0" w:line="10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i w:val="1"/>
          <w:iCs w:val="1"/>
          <w:color w:val="auto"/>
        </w:rPr>
        <w:t xml:space="preserve">Third Amended and Restated Option Purchase Agreements. </w:t>
      </w:r>
      <w:r>
        <w:rPr>
          <w:rFonts w:ascii="Arial" w:cs="Arial" w:eastAsia="Arial" w:hAnsi="Arial"/>
          <w:sz w:val="18"/>
          <w:szCs w:val="18"/>
          <w:color w:val="auto"/>
        </w:rPr>
        <w:t>Shanghai Aihui entered into the third amended and restated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 with each of the two shareholders of Shanghai Wanwuxinsheng on December 7, 2020. Pursuant to the agreements, each of the shareholders of Shanghai Wanwuxinsheng irrevocably grant Shanghai Aihui an exclusive option to purchase, or have its designated person to purchase, at its discretion, all or part of the equity interests currently held and may in the future be held by such shareholders in Shanghai Wanwuxinsheng. Shanghai Aihui or its designated person may exercise such options at the lowest price permitted under applicable PRC laws if there is any statutory requirement about the consideration under PRC laws. Each of the shareholders of Shanghai Wanwuxinsheng agree that there is no limit to the number of times that Shanghai Aihui can exercise the rights above and Shanghai Aihui can exercise such right at any time. Each of the shareholders of Shanghai Wanwuxinsheng undertakes that, before all of the equity interests of Shanghai Wanwuxinsheng are acquired by Shanghai Aihui through exercising the option, unless otherwise agreed by Shanghai Aihui in writing, Shanghai Wanwuxinsheng will not engage in certain actions, such as (i) selling, transferring, pledging, or otherwise disposing of or creating any encumbrance on the assets, business or income of Shanghai Wanwuxinsheng, (ii) entering into any transaction that will substantially affect the assets, obligations, operations, equity and other rights of Shanghai Wanwuxinsheng, (iii) distributing dividends to shareholders in any form, (iv) inheriting, providing guarantee or incurring any debt (except those in the ordinary course of business (other than incurred by loan) or disclosed to and consented by Shanghai Aihui), (v) entering into any material</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contract with a value of more than RMB100,000 (except those in the ordinary course of business), and (vi) merge with or acquire any other entities or make any investments in other entities. The option purchase agreements will remain effective until all of the equity interests of Shanghai Wanwuxinsheng held by the shareholders of Shanghai Wanwuxinsheng are acquired by Shanghai Aihui in a manner permitted under applicable PRC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Shenzhen Lvchuang</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entered into a set of contractual arrangements with Shenzhen Lvchuang through Shanghai Aihui. The contractual arrangements consist of (i) the exclusive business cooperation agreement between Shanghai Aihui and Shenzhen Lvchuang dated June 19, 2019, (ii) the share pledge agreement among Shanghai Aihui, Shenzhen Lvchuang and the shareholder of Shenzhen Lvchuang dated June 19, 2019, (iii) the exclusive option purchase agreement among Shanghai Aihui, Shenzhen Lvchuang and the shareholder of Shenzhen Lvchuang dated June 19, 2019, (iv) the power of attorney executed by the shareholder of Shenzhen Lvchuang on June 19, 2019, and (v) the spousal consent letter executed by the spouse of the shareholder of Shenzhen Lvchuang on June 19, 2019. The content of our contractual arrangements with Shenzhen Lvchuang is substantially similar to that of our contractual arrangements with Shanghai Wanwuxinsheng.</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opinion of Han Kun Law Offices, our PRC counsel:</w:t>
      </w:r>
    </w:p>
    <w:p>
      <w:pPr>
        <w:spacing w:after="0" w:line="117" w:lineRule="exact"/>
        <w:rPr>
          <w:sz w:val="20"/>
          <w:szCs w:val="20"/>
          <w:color w:val="auto"/>
        </w:rPr>
      </w:pPr>
    </w:p>
    <w:p>
      <w:pPr>
        <w:ind w:left="880" w:right="160" w:hanging="224"/>
        <w:spacing w:after="0" w:line="24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ownership structures of our WFOE and VIEs, currently and immediately after giving effect to this offering, are in compliance with PRC laws and regulations currently in effect; and</w:t>
      </w:r>
    </w:p>
    <w:p>
      <w:pPr>
        <w:spacing w:after="0" w:line="102" w:lineRule="exact"/>
        <w:rPr>
          <w:rFonts w:ascii="Arial" w:cs="Arial" w:eastAsia="Arial" w:hAnsi="Arial"/>
          <w:sz w:val="18"/>
          <w:szCs w:val="18"/>
          <w:color w:val="auto"/>
        </w:rPr>
      </w:pPr>
    </w:p>
    <w:p>
      <w:pPr>
        <w:ind w:left="880" w:right="10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contractual arrangements among our WFOE, our VIEs and the shareholders of our VIEs, currently and immediately after giving effect to this offering, are valid, binding and enforceable under PRC laws and regulations, and do not and will not result in any violation of applicable PRC laws and regulations currently in effect.</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However, our PRC legal counsel has also advised us that there are substantial uncertainties regarding the interpretation and application of current and future PRC laws, regulations, rules and policies. The PRC regulatory authorities may take a view that is contrary to the opinion of our PRC counsel. It is also uncertain whether any new PRC laws or regulations relating to variable interest entity structures will be adopted or if adopted, what they would provide. If we or our variable interest entity is found to be in violation of any existing or future PRC laws or regulations, or fail to obtain or maintain any of the required permits or approvals, the relevant PRC regulatory authorities would have broad discretion to take action in dealing with such violations or failures. See “Risk Factors—Risks Relating to Our Corporate Structure—If the PRC government finds that the agreements that establish the structure for operating certain of our businesses in China do not comply with PRC regulations relating to the relevant industries, or if these regulations or the interpretation of existing regulations change in the future, we could be subject to severe penalties or be forced to relinquish our interests in those operations”, “Risk Factors—Risks Relating to Our Corporate Structure—Our current corporate structure and business operations may be affected by the newly enacted Foreign Investment Law” and “Risk Factors—Risks Relating to Doing Business in China—Uncertainties with respect to the PRC legal system and changes in laws and regulations in China could adversely affect us.”</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4"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following selected consolidated statements of operations and comprehensive loss data for the years ended December 31, 2018, 2019 and 2020, selected consolidated balance sheets data as of December 31, 2018, 2019 and 2020, and selected consolidated statements of cash flows data for the years ended December 31, 2018, 2019 and 2020 have been derived from our audited consolidated financial statements included elsewhere in this prospectus. The following selected consolidated statements of operations and comprehensive loss data for the three months ended March 31, 2020 and 2021, selected consolidated balance sheet data as of March 31, 2021, and selected consolidated statements of cash flows data for the three months ended March 31, 2020 and 2021 have been derived from our unaudited interim condensed consolidated financial statements included elsewhere in this prospectus and have been prepared on the same basis as our audited consolidated financial statements and include all adjustments, consisting only of normal and recurring adjustments, that we consider necessary for a fair statement of our financial position and results of operations for the periods presented. Our consolidated financial statements are prepared and presented in accordance with U.S. GAAP. Our historical results are not necessarily indicative of results expected for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selected consolidated statements of operations and comprehensive loss data for the years ended</w:t>
      </w:r>
    </w:p>
    <w:p>
      <w:pPr>
        <w:ind w:left="120"/>
        <w:spacing w:after="0"/>
        <w:rPr>
          <w:sz w:val="20"/>
          <w:szCs w:val="20"/>
          <w:color w:val="auto"/>
        </w:rPr>
      </w:pPr>
      <w:r>
        <w:rPr>
          <w:rFonts w:ascii="Arial" w:cs="Arial" w:eastAsia="Arial" w:hAnsi="Arial"/>
          <w:sz w:val="18"/>
          <w:szCs w:val="18"/>
          <w:color w:val="auto"/>
        </w:rPr>
        <w:t>December 31, 2018, 2019 and 2020 and the three months ended March 31, 2020 and 2021:</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1"/>
                <w:szCs w:val="11"/>
                <w:b w:val="1"/>
                <w:bCs w:val="1"/>
                <w:color w:val="auto"/>
              </w:rPr>
              <w:t>For the Year Ended December 31,</w:t>
            </w: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1"/>
                <w:szCs w:val="11"/>
                <w:b w:val="1"/>
                <w:bCs w:val="1"/>
                <w:color w:val="auto"/>
              </w:rPr>
              <w:t>For the Three Months Ended March 31,</w:t>
            </w: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5"/>
        </w:trPr>
        <w:tc>
          <w:tcPr>
            <w:tcW w:w="1540" w:type="dxa"/>
            <w:vAlign w:val="bottom"/>
          </w:tcPr>
          <w:p>
            <w:pPr>
              <w:spacing w:after="0"/>
              <w:rPr>
                <w:sz w:val="10"/>
                <w:szCs w:val="10"/>
                <w:color w:val="auto"/>
              </w:rPr>
            </w:pPr>
          </w:p>
        </w:tc>
        <w:tc>
          <w:tcPr>
            <w:tcW w:w="920" w:type="dxa"/>
            <w:vAlign w:val="bottom"/>
            <w:tcBorders>
              <w:bottom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rPr>
              <w:t>2018</w:t>
            </w:r>
          </w:p>
        </w:tc>
        <w:tc>
          <w:tcPr>
            <w:tcW w:w="4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rPr>
              <w:t>2019</w:t>
            </w:r>
          </w:p>
        </w:tc>
        <w:tc>
          <w:tcPr>
            <w:tcW w:w="4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58"/>
              <w:spacing w:after="0" w:line="115" w:lineRule="exact"/>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bottom w:val="single" w:sz="8" w:color="auto"/>
            </w:tcBorders>
            <w:gridSpan w:val="2"/>
          </w:tcPr>
          <w:p>
            <w:pPr>
              <w:jc w:val="right"/>
              <w:ind w:right="60"/>
              <w:spacing w:after="0" w:line="115" w:lineRule="exact"/>
              <w:rPr>
                <w:sz w:val="20"/>
                <w:szCs w:val="20"/>
                <w:color w:val="auto"/>
              </w:rPr>
            </w:pPr>
            <w:r>
              <w:rPr>
                <w:rFonts w:ascii="Arial" w:cs="Arial" w:eastAsia="Arial" w:hAnsi="Arial"/>
                <w:sz w:val="11"/>
                <w:szCs w:val="11"/>
                <w:b w:val="1"/>
                <w:bCs w:val="1"/>
                <w:color w:val="auto"/>
              </w:rPr>
              <w:t>2020</w:t>
            </w:r>
          </w:p>
        </w:tc>
        <w:tc>
          <w:tcPr>
            <w:tcW w:w="4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58"/>
              <w:spacing w:after="0" w:line="115" w:lineRule="exact"/>
              <w:rPr>
                <w:sz w:val="20"/>
                <w:szCs w:val="20"/>
                <w:color w:val="auto"/>
              </w:rPr>
            </w:pPr>
            <w:r>
              <w:rPr>
                <w:rFonts w:ascii="Arial" w:cs="Arial" w:eastAsia="Arial" w:hAnsi="Arial"/>
                <w:sz w:val="11"/>
                <w:szCs w:val="11"/>
                <w:b w:val="1"/>
                <w:bCs w:val="1"/>
                <w:color w:val="auto"/>
              </w:rPr>
              <w:t>2021</w:t>
            </w: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1540" w:type="dxa"/>
            <w:vAlign w:val="bottom"/>
          </w:tcPr>
          <w:p>
            <w:pPr>
              <w:spacing w:after="0"/>
              <w:rPr>
                <w:sz w:val="10"/>
                <w:szCs w:val="10"/>
                <w:color w:val="auto"/>
              </w:rPr>
            </w:pPr>
          </w:p>
        </w:tc>
        <w:tc>
          <w:tcPr>
            <w:tcW w:w="92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820" w:type="dxa"/>
            <w:vAlign w:val="bottom"/>
            <w:tcBorders>
              <w:bottom w:val="single" w:sz="8" w:color="auto"/>
            </w:tcBorders>
            <w:gridSpan w:val="2"/>
          </w:tcPr>
          <w:p>
            <w:pPr>
              <w:jc w:val="right"/>
              <w:ind w:right="400"/>
              <w:spacing w:after="0" w:line="115" w:lineRule="exact"/>
              <w:rPr>
                <w:sz w:val="20"/>
                <w:szCs w:val="20"/>
                <w:color w:val="auto"/>
              </w:rPr>
            </w:pPr>
            <w:r>
              <w:rPr>
                <w:rFonts w:ascii="Arial" w:cs="Arial" w:eastAsia="Arial" w:hAnsi="Arial"/>
                <w:sz w:val="11"/>
                <w:szCs w:val="11"/>
                <w:b w:val="1"/>
                <w:bCs w:val="1"/>
                <w:color w:val="auto"/>
              </w:rPr>
              <w:t>US$</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400"/>
              <w:spacing w:after="0" w:line="115" w:lineRule="exact"/>
              <w:rPr>
                <w:sz w:val="20"/>
                <w:szCs w:val="20"/>
                <w:color w:val="auto"/>
              </w:rPr>
            </w:pPr>
            <w:r>
              <w:rPr>
                <w:rFonts w:ascii="Arial" w:cs="Arial" w:eastAsia="Arial" w:hAnsi="Arial"/>
                <w:sz w:val="11"/>
                <w:szCs w:val="11"/>
                <w:b w:val="1"/>
                <w:bCs w:val="1"/>
                <w:color w:val="auto"/>
              </w:rPr>
              <w:t>RMB</w:t>
            </w:r>
          </w:p>
        </w:tc>
        <w:tc>
          <w:tcPr>
            <w:tcW w:w="460" w:type="dxa"/>
            <w:vAlign w:val="bottom"/>
            <w:tcBorders>
              <w:bottom w:val="single" w:sz="8" w:color="auto"/>
            </w:tcBorders>
          </w:tcPr>
          <w:p>
            <w:pPr>
              <w:jc w:val="right"/>
              <w:ind w:right="118"/>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840" w:type="dxa"/>
            <w:vAlign w:val="bottom"/>
            <w:tcBorders>
              <w:bottom w:val="single" w:sz="8" w:color="auto"/>
            </w:tcBorders>
            <w:gridSpan w:val="2"/>
          </w:tcPr>
          <w:p>
            <w:pPr>
              <w:jc w:val="right"/>
              <w:ind w:right="420"/>
              <w:spacing w:after="0" w:line="115" w:lineRule="exact"/>
              <w:rPr>
                <w:sz w:val="20"/>
                <w:szCs w:val="20"/>
                <w:color w:val="auto"/>
              </w:rPr>
            </w:pPr>
            <w:r>
              <w:rPr>
                <w:rFonts w:ascii="Arial" w:cs="Arial" w:eastAsia="Arial" w:hAnsi="Arial"/>
                <w:sz w:val="11"/>
                <w:szCs w:val="11"/>
                <w:b w:val="1"/>
                <w:bCs w:val="1"/>
                <w:color w:val="auto"/>
              </w:rPr>
              <w:t>US$</w:t>
            </w:r>
          </w:p>
        </w:tc>
        <w:tc>
          <w:tcPr>
            <w:tcW w:w="500" w:type="dxa"/>
            <w:vAlign w:val="bottom"/>
            <w:tcBorders>
              <w:bottom w:val="single" w:sz="8" w:color="auto"/>
            </w:tcBorders>
          </w:tcPr>
          <w:p>
            <w:pPr>
              <w:jc w:val="right"/>
              <w:ind w:right="138"/>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r>
      <w:tr>
        <w:trPr>
          <w:trHeight w:val="115"/>
        </w:trPr>
        <w:tc>
          <w:tcPr>
            <w:tcW w:w="1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560" w:type="dxa"/>
            <w:vAlign w:val="bottom"/>
            <w:gridSpan w:val="12"/>
          </w:tcPr>
          <w:p>
            <w:pPr>
              <w:jc w:val="right"/>
              <w:ind w:right="480"/>
              <w:spacing w:after="0" w:line="115" w:lineRule="exact"/>
              <w:rPr>
                <w:sz w:val="20"/>
                <w:szCs w:val="20"/>
                <w:color w:val="auto"/>
              </w:rPr>
            </w:pPr>
            <w:r>
              <w:rPr>
                <w:rFonts w:ascii="Arial" w:cs="Arial" w:eastAsia="Arial" w:hAnsi="Arial"/>
                <w:sz w:val="11"/>
                <w:szCs w:val="11"/>
                <w:b w:val="1"/>
                <w:bCs w:val="1"/>
                <w:color w:val="auto"/>
              </w:rPr>
              <w:t>(in thousands, except for percentages, share numbers and per share data)</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revenues</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Net product</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revenues</w:t>
            </w:r>
          </w:p>
        </w:tc>
        <w:tc>
          <w:tcPr>
            <w:tcW w:w="9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3,249,923</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99.6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3,730,206</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94.9</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4,244,023</w:t>
            </w: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647,764</w:t>
            </w: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87.4</w:t>
            </w: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606,103</w:t>
            </w:r>
          </w:p>
        </w:tc>
        <w:tc>
          <w:tcPr>
            <w:tcW w:w="200" w:type="dxa"/>
            <w:vAlign w:val="bottom"/>
          </w:tcPr>
          <w:p>
            <w:pPr>
              <w:spacing w:after="0"/>
              <w:rPr>
                <w:sz w:val="12"/>
                <w:szCs w:val="12"/>
                <w:color w:val="auto"/>
              </w:rPr>
            </w:pP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87.6</w:t>
            </w: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1,310,547</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200,029</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86.5</w:t>
            </w: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Net service</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revenues</w:t>
            </w:r>
          </w:p>
        </w:tc>
        <w:tc>
          <w:tcPr>
            <w:tcW w:w="9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11,597</w:t>
            </w: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0.4</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201,652</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5.1</w:t>
            </w:r>
          </w:p>
        </w:tc>
        <w:tc>
          <w:tcPr>
            <w:tcW w:w="9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614,176</w:t>
            </w:r>
          </w:p>
        </w:tc>
        <w:tc>
          <w:tcPr>
            <w:tcW w:w="8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93,742</w:t>
            </w:r>
          </w:p>
        </w:tc>
        <w:tc>
          <w:tcPr>
            <w:tcW w:w="6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12.6</w:t>
            </w:r>
          </w:p>
        </w:tc>
        <w:tc>
          <w:tcPr>
            <w:tcW w:w="8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86,109</w:t>
            </w:r>
          </w:p>
        </w:tc>
        <w:tc>
          <w:tcPr>
            <w:tcW w:w="6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12.4</w:t>
            </w:r>
          </w:p>
        </w:tc>
        <w:tc>
          <w:tcPr>
            <w:tcW w:w="9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203,884</w:t>
            </w:r>
          </w:p>
        </w:tc>
        <w:tc>
          <w:tcPr>
            <w:tcW w:w="8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31,119</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13.5</w:t>
            </w:r>
          </w:p>
        </w:tc>
      </w:tr>
      <w:tr>
        <w:trPr>
          <w:trHeight w:val="142"/>
        </w:trPr>
        <w:tc>
          <w:tcPr>
            <w:tcW w:w="1540" w:type="dxa"/>
            <w:vAlign w:val="bottom"/>
          </w:tcPr>
          <w:p>
            <w:pPr>
              <w:spacing w:after="0" w:line="142" w:lineRule="exact"/>
              <w:rPr>
                <w:sz w:val="20"/>
                <w:szCs w:val="20"/>
                <w:color w:val="auto"/>
              </w:rPr>
            </w:pPr>
            <w:r>
              <w:rPr>
                <w:rFonts w:ascii="Arial" w:cs="Arial" w:eastAsia="Arial" w:hAnsi="Arial"/>
                <w:sz w:val="13"/>
                <w:szCs w:val="13"/>
                <w:b w:val="1"/>
                <w:bCs w:val="1"/>
                <w:color w:val="auto"/>
              </w:rPr>
              <w:t>Total net revenues</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3,261,520</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3,931,858</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4,858,199</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741,506</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692,212</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1,514,431</w:t>
            </w:r>
          </w:p>
        </w:tc>
        <w:tc>
          <w:tcPr>
            <w:tcW w:w="2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231,148</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20" w:type="dxa"/>
            <w:vAlign w:val="bottom"/>
          </w:tcPr>
          <w:p>
            <w:pPr>
              <w:spacing w:after="0"/>
              <w:rPr>
                <w:sz w:val="12"/>
                <w:szCs w:val="12"/>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Merchandise costs</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(2,801,433)</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(85.9)</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(3,176,401)</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(80.8)</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(3,610,434)</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(551,060)</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(74.3)</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(500,800)</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(72.3)</w:t>
            </w: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(1,095,696)</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(167,236)</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(72.4)</w:t>
            </w: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Fulfillment expenses</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(353,969)</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(658,149)</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(16.7)</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(666,317)</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(101,700)</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(13.7)</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(157,954)</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(22.8)</w:t>
            </w: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(223,019)</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(34,039)</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(14.7)</w:t>
            </w: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Selling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1540" w:type="dxa"/>
            <w:vAlign w:val="bottom"/>
          </w:tcPr>
          <w:p>
            <w:pPr>
              <w:ind w:left="380"/>
              <w:spacing w:after="0" w:line="135" w:lineRule="exact"/>
              <w:rPr>
                <w:sz w:val="20"/>
                <w:szCs w:val="20"/>
                <w:color w:val="auto"/>
              </w:rPr>
            </w:pPr>
            <w:r>
              <w:rPr>
                <w:rFonts w:ascii="Arial" w:cs="Arial" w:eastAsia="Arial" w:hAnsi="Arial"/>
                <w:sz w:val="13"/>
                <w:szCs w:val="13"/>
                <w:color w:val="auto"/>
              </w:rPr>
              <w:t>marketing</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expenses</w:t>
            </w: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(237,562)</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(7.3)</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(566,792)</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(14.4)</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(740,542)</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(113,029)</w:t>
            </w: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(15.2)</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(144,150)</w:t>
            </w: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(20.8)</w:t>
            </w:r>
          </w:p>
        </w:tc>
        <w:tc>
          <w:tcPr>
            <w:tcW w:w="9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(222,580)</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(33,972)</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(14.7)</w:t>
            </w: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General and</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154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administrative</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expenses</w:t>
            </w:r>
          </w:p>
        </w:tc>
        <w:tc>
          <w:tcPr>
            <w:tcW w:w="9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(80,959)</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(2.5)</w:t>
            </w: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(140,874)</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(3.6)</w:t>
            </w: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(177,542)</w:t>
            </w:r>
          </w:p>
        </w:tc>
        <w:tc>
          <w:tcPr>
            <w:tcW w:w="8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(27,098)</w:t>
            </w: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(3.7)</w:t>
            </w:r>
          </w:p>
        </w:tc>
        <w:tc>
          <w:tcPr>
            <w:tcW w:w="8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(53,900)</w:t>
            </w: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(7.8)</w:t>
            </w:r>
          </w:p>
        </w:tc>
        <w:tc>
          <w:tcPr>
            <w:tcW w:w="9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(29,408)</w:t>
            </w:r>
          </w:p>
        </w:tc>
        <w:tc>
          <w:tcPr>
            <w:tcW w:w="8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(4,489)</w:t>
            </w: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(1.9)</w:t>
            </w: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Technology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8"/>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content expenses</w:t>
            </w: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(65,759)</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(2.0)</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(142,858)</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(3.7)</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(151,536)</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(23,129)</w:t>
            </w: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(3.1)</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(40,165)</w:t>
            </w: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(5.8)</w:t>
            </w:r>
          </w:p>
        </w:tc>
        <w:tc>
          <w:tcPr>
            <w:tcW w:w="9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(55,499)</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(8,471)</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(3.7)</w:t>
            </w:r>
          </w:p>
        </w:tc>
      </w:tr>
      <w:tr>
        <w:trPr>
          <w:trHeight w:val="113"/>
        </w:trPr>
        <w:tc>
          <w:tcPr>
            <w:tcW w:w="154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Total operating</w:t>
            </w: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r>
      <w:tr>
        <w:trPr>
          <w:trHeight w:val="157"/>
        </w:trPr>
        <w:tc>
          <w:tcPr>
            <w:tcW w:w="15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expense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(3,539,682)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(108.5)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(4,685,074)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(119.2)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(5,346,371)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(816,016)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(110.0)</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(896,969)</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(129.6)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(1,626,202)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(248,207)</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(107.4)</w:t>
            </w: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Other operating</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income</w:t>
            </w:r>
          </w:p>
        </w:tc>
        <w:tc>
          <w:tcPr>
            <w:tcW w:w="9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21,701</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21,410</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29,395</w:t>
            </w:r>
          </w:p>
        </w:tc>
        <w:tc>
          <w:tcPr>
            <w:tcW w:w="8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4,487</w:t>
            </w:r>
          </w:p>
        </w:tc>
        <w:tc>
          <w:tcPr>
            <w:tcW w:w="6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0.6</w:t>
            </w:r>
          </w:p>
        </w:tc>
        <w:tc>
          <w:tcPr>
            <w:tcW w:w="8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5,811</w:t>
            </w:r>
          </w:p>
        </w:tc>
        <w:tc>
          <w:tcPr>
            <w:tcW w:w="6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0.8</w:t>
            </w: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361</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55</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0.0</w:t>
            </w:r>
          </w:p>
        </w:tc>
      </w:tr>
      <w:tr>
        <w:trPr>
          <w:trHeight w:val="27"/>
        </w:trPr>
        <w:tc>
          <w:tcPr>
            <w:tcW w:w="1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Loss from operations</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(256,461)</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(7.9)</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(731,806)</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(18.6)</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(458,777)</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(70,023)</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(9.4)</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(198,946)</w:t>
            </w: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(28.7)</w:t>
            </w: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(111,410)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(17,004)</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(7.4)</w:t>
            </w: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Interest expense</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(6,536)</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(0.2)</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(12,397)</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(21,090)</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(3,219)</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(0.5)</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(3,535)</w:t>
            </w: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(0.5)</w:t>
            </w: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(6,552)</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(0.4)</w:t>
            </w: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Interest income</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8,273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7,813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0.2</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9,321</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1,423</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1,910</w:t>
            </w: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0.3</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3,420</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522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0.2</w:t>
            </w: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Fair value change in</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2"/>
        </w:trPr>
        <w:tc>
          <w:tcPr>
            <w:tcW w:w="1540" w:type="dxa"/>
            <w:vAlign w:val="bottom"/>
          </w:tcPr>
          <w:p>
            <w:pPr>
              <w:ind w:left="380"/>
              <w:spacing w:after="0"/>
              <w:rPr>
                <w:sz w:val="20"/>
                <w:szCs w:val="20"/>
                <w:color w:val="auto"/>
              </w:rPr>
            </w:pPr>
            <w:r>
              <w:rPr>
                <w:rFonts w:ascii="Arial" w:cs="Arial" w:eastAsia="Arial" w:hAnsi="Arial"/>
                <w:sz w:val="13"/>
                <w:szCs w:val="13"/>
                <w:color w:val="auto"/>
              </w:rPr>
              <w:t>warrant liabilities</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23,781</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0.7</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r>
    </w:tbl>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5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1"/>
                <w:szCs w:val="11"/>
                <w:b w:val="1"/>
                <w:bCs w:val="1"/>
                <w:color w:val="auto"/>
              </w:rPr>
              <w:t>For the Year Ended December 31,</w:t>
            </w:r>
          </w:p>
        </w:tc>
        <w:tc>
          <w:tcPr>
            <w:tcW w:w="7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1"/>
                <w:szCs w:val="11"/>
                <w:b w:val="1"/>
                <w:bCs w:val="1"/>
                <w:color w:val="auto"/>
                <w:w w:val="99"/>
              </w:rPr>
              <w:t>For the Three Months Ended March 31,</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2018</w:t>
            </w: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bottom w:val="single" w:sz="8" w:color="auto"/>
            </w:tcBorders>
            <w:gridSpan w:val="2"/>
          </w:tcPr>
          <w:p>
            <w:pPr>
              <w:jc w:val="right"/>
              <w:ind w:right="160"/>
              <w:spacing w:after="0" w:line="115" w:lineRule="exact"/>
              <w:rPr>
                <w:sz w:val="20"/>
                <w:szCs w:val="20"/>
                <w:color w:val="auto"/>
              </w:rPr>
            </w:pPr>
            <w:r>
              <w:rPr>
                <w:rFonts w:ascii="Arial" w:cs="Arial" w:eastAsia="Arial" w:hAnsi="Arial"/>
                <w:sz w:val="11"/>
                <w:szCs w:val="11"/>
                <w:b w:val="1"/>
                <w:bCs w:val="1"/>
                <w:color w:val="auto"/>
              </w:rPr>
              <w:t>2019</w:t>
            </w:r>
          </w:p>
        </w:tc>
        <w:tc>
          <w:tcPr>
            <w:tcW w:w="3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98"/>
              <w:spacing w:after="0" w:line="115" w:lineRule="exact"/>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bottom w:val="single" w:sz="8" w:color="auto"/>
            </w:tcBorders>
            <w:gridSpan w:val="2"/>
          </w:tcPr>
          <w:p>
            <w:pPr>
              <w:jc w:val="right"/>
              <w:ind w:right="80"/>
              <w:spacing w:after="0" w:line="115" w:lineRule="exact"/>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58"/>
              <w:spacing w:after="0" w:line="115" w:lineRule="exact"/>
              <w:rPr>
                <w:sz w:val="20"/>
                <w:szCs w:val="20"/>
                <w:color w:val="auto"/>
              </w:rPr>
            </w:pPr>
            <w:r>
              <w:rPr>
                <w:rFonts w:ascii="Arial" w:cs="Arial" w:eastAsia="Arial" w:hAnsi="Arial"/>
                <w:sz w:val="11"/>
                <w:szCs w:val="11"/>
                <w:b w:val="1"/>
                <w:bCs w:val="1"/>
                <w:color w:val="auto"/>
              </w:rPr>
              <w:t>2021</w:t>
            </w: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300" w:type="dxa"/>
            <w:vAlign w:val="bottom"/>
            <w:tcBorders>
              <w:bottom w:val="single" w:sz="8" w:color="auto"/>
            </w:tcBorders>
          </w:tcPr>
          <w:p>
            <w:pPr>
              <w:jc w:val="right"/>
              <w:ind w:right="39"/>
              <w:spacing w:after="0" w:line="115" w:lineRule="exact"/>
              <w:rPr>
                <w:sz w:val="20"/>
                <w:szCs w:val="20"/>
                <w:color w:val="auto"/>
              </w:rPr>
            </w:pPr>
            <w:r>
              <w:rPr>
                <w:rFonts w:ascii="Arial" w:cs="Arial" w:eastAsia="Arial" w:hAnsi="Arial"/>
                <w:sz w:val="11"/>
                <w:szCs w:val="11"/>
                <w:b w:val="1"/>
                <w:bCs w:val="1"/>
                <w:color w:val="auto"/>
              </w:rPr>
              <w:t>%</w:t>
            </w: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380" w:type="dxa"/>
            <w:vAlign w:val="bottom"/>
            <w:tcBorders>
              <w:bottom w:val="single" w:sz="8" w:color="auto"/>
            </w:tcBorders>
          </w:tcPr>
          <w:p>
            <w:pPr>
              <w:jc w:val="right"/>
              <w:ind w:right="79"/>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440"/>
              <w:spacing w:after="0" w:line="115" w:lineRule="exact"/>
              <w:rPr>
                <w:sz w:val="20"/>
                <w:szCs w:val="20"/>
                <w:color w:val="auto"/>
              </w:rPr>
            </w:pPr>
            <w:r>
              <w:rPr>
                <w:rFonts w:ascii="Arial" w:cs="Arial" w:eastAsia="Arial" w:hAnsi="Arial"/>
                <w:sz w:val="11"/>
                <w:szCs w:val="11"/>
                <w:b w:val="1"/>
                <w:bCs w:val="1"/>
                <w:color w:val="auto"/>
              </w:rPr>
              <w:t>RMB</w:t>
            </w:r>
          </w:p>
        </w:tc>
        <w:tc>
          <w:tcPr>
            <w:tcW w:w="980" w:type="dxa"/>
            <w:vAlign w:val="bottom"/>
            <w:tcBorders>
              <w:bottom w:val="single" w:sz="8" w:color="auto"/>
            </w:tcBorders>
            <w:gridSpan w:val="2"/>
          </w:tcPr>
          <w:p>
            <w:pPr>
              <w:jc w:val="right"/>
              <w:ind w:right="480"/>
              <w:spacing w:after="0" w:line="115" w:lineRule="exact"/>
              <w:rPr>
                <w:sz w:val="20"/>
                <w:szCs w:val="20"/>
                <w:color w:val="auto"/>
              </w:rPr>
            </w:pPr>
            <w:r>
              <w:rPr>
                <w:rFonts w:ascii="Arial" w:cs="Arial" w:eastAsia="Arial" w:hAnsi="Arial"/>
                <w:sz w:val="11"/>
                <w:szCs w:val="11"/>
                <w:b w:val="1"/>
                <w:bCs w:val="1"/>
                <w:color w:val="auto"/>
              </w:rPr>
              <w:t>US$</w:t>
            </w:r>
          </w:p>
        </w:tc>
        <w:tc>
          <w:tcPr>
            <w:tcW w:w="380" w:type="dxa"/>
            <w:vAlign w:val="bottom"/>
            <w:tcBorders>
              <w:bottom w:val="single" w:sz="8" w:color="auto"/>
            </w:tcBorders>
          </w:tcPr>
          <w:p>
            <w:pPr>
              <w:jc w:val="right"/>
              <w:ind w:right="79"/>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380"/>
              <w:spacing w:after="0" w:line="115" w:lineRule="exact"/>
              <w:rPr>
                <w:sz w:val="20"/>
                <w:szCs w:val="20"/>
                <w:color w:val="auto"/>
              </w:rPr>
            </w:pPr>
            <w:r>
              <w:rPr>
                <w:rFonts w:ascii="Arial" w:cs="Arial" w:eastAsia="Arial" w:hAnsi="Arial"/>
                <w:sz w:val="11"/>
                <w:szCs w:val="11"/>
                <w:b w:val="1"/>
                <w:bCs w:val="1"/>
                <w:color w:val="auto"/>
              </w:rPr>
              <w:t>RMB</w:t>
            </w:r>
          </w:p>
        </w:tc>
        <w:tc>
          <w:tcPr>
            <w:tcW w:w="480" w:type="dxa"/>
            <w:vAlign w:val="bottom"/>
            <w:tcBorders>
              <w:bottom w:val="single" w:sz="8" w:color="auto"/>
            </w:tcBorders>
            <w:gridSpan w:val="2"/>
          </w:tcPr>
          <w:p>
            <w:pPr>
              <w:jc w:val="right"/>
              <w:ind w:right="77"/>
              <w:spacing w:after="0" w:line="115" w:lineRule="exact"/>
              <w:rPr>
                <w:sz w:val="20"/>
                <w:szCs w:val="20"/>
                <w:color w:val="auto"/>
              </w:rPr>
            </w:pPr>
            <w:r>
              <w:rPr>
                <w:rFonts w:ascii="Arial" w:cs="Arial" w:eastAsia="Arial" w:hAnsi="Arial"/>
                <w:sz w:val="11"/>
                <w:szCs w:val="11"/>
                <w:b w:val="1"/>
                <w:bCs w:val="1"/>
                <w:color w:val="auto"/>
              </w:rPr>
              <w:t>%</w:t>
            </w: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480"/>
              <w:spacing w:after="0" w:line="115" w:lineRule="exact"/>
              <w:rPr>
                <w:sz w:val="20"/>
                <w:szCs w:val="20"/>
                <w:color w:val="auto"/>
              </w:rPr>
            </w:pPr>
            <w:r>
              <w:rPr>
                <w:rFonts w:ascii="Arial" w:cs="Arial" w:eastAsia="Arial" w:hAnsi="Arial"/>
                <w:sz w:val="11"/>
                <w:szCs w:val="11"/>
                <w:b w:val="1"/>
                <w:bCs w:val="1"/>
                <w:color w:val="auto"/>
              </w:rPr>
              <w:t>RMB</w:t>
            </w:r>
          </w:p>
        </w:tc>
        <w:tc>
          <w:tcPr>
            <w:tcW w:w="1000" w:type="dxa"/>
            <w:vAlign w:val="bottom"/>
            <w:tcBorders>
              <w:bottom w:val="single" w:sz="8" w:color="auto"/>
            </w:tcBorders>
            <w:gridSpan w:val="2"/>
          </w:tcPr>
          <w:p>
            <w:pPr>
              <w:jc w:val="right"/>
              <w:ind w:right="500"/>
              <w:spacing w:after="0" w:line="115" w:lineRule="exact"/>
              <w:rPr>
                <w:sz w:val="20"/>
                <w:szCs w:val="20"/>
                <w:color w:val="auto"/>
              </w:rPr>
            </w:pPr>
            <w:r>
              <w:rPr>
                <w:rFonts w:ascii="Arial" w:cs="Arial" w:eastAsia="Arial" w:hAnsi="Arial"/>
                <w:sz w:val="11"/>
                <w:szCs w:val="11"/>
                <w:b w:val="1"/>
                <w:bCs w:val="1"/>
                <w:color w:val="auto"/>
              </w:rPr>
              <w:t>US$</w:t>
            </w:r>
          </w:p>
        </w:tc>
        <w:tc>
          <w:tcPr>
            <w:tcW w:w="320" w:type="dxa"/>
            <w:vAlign w:val="bottom"/>
            <w:tcBorders>
              <w:bottom w:val="single" w:sz="8" w:color="auto"/>
            </w:tcBorders>
          </w:tcPr>
          <w:p>
            <w:pPr>
              <w:jc w:val="right"/>
              <w:ind w:right="39"/>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80" w:type="dxa"/>
            <w:vAlign w:val="bottom"/>
            <w:gridSpan w:val="12"/>
          </w:tcPr>
          <w:p>
            <w:pPr>
              <w:jc w:val="right"/>
              <w:ind w:right="460"/>
              <w:spacing w:after="0" w:line="115" w:lineRule="exact"/>
              <w:rPr>
                <w:sz w:val="20"/>
                <w:szCs w:val="20"/>
                <w:color w:val="auto"/>
              </w:rPr>
            </w:pPr>
            <w:r>
              <w:rPr>
                <w:rFonts w:ascii="Arial" w:cs="Arial" w:eastAsia="Arial" w:hAnsi="Arial"/>
                <w:sz w:val="11"/>
                <w:szCs w:val="11"/>
                <w:b w:val="1"/>
                <w:bCs w:val="1"/>
                <w:color w:val="auto"/>
                <w:w w:val="97"/>
              </w:rPr>
              <w:t>(in thousands, except for percentages, share numbers and per share data)</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Other income (loss),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net</w:t>
            </w:r>
          </w:p>
        </w:tc>
        <w:tc>
          <w:tcPr>
            <w:tcW w:w="7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21,579</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0.7</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3,581</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6"/>
              <w:spacing w:after="0" w:line="141" w:lineRule="exact"/>
              <w:rPr>
                <w:sz w:val="20"/>
                <w:szCs w:val="20"/>
                <w:color w:val="auto"/>
              </w:rPr>
            </w:pPr>
            <w:r>
              <w:rPr>
                <w:rFonts w:ascii="Arial" w:cs="Arial" w:eastAsia="Arial" w:hAnsi="Arial"/>
                <w:sz w:val="13"/>
                <w:szCs w:val="13"/>
                <w:color w:val="auto"/>
              </w:rPr>
              <w:t>0.1</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(39,866)</w:t>
            </w:r>
          </w:p>
        </w:tc>
        <w:tc>
          <w:tcPr>
            <w:tcW w:w="9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(6,085)</w:t>
            </w:r>
          </w:p>
        </w:tc>
        <w:tc>
          <w:tcPr>
            <w:tcW w:w="5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(0.8)</w:t>
            </w:r>
          </w:p>
        </w:tc>
        <w:tc>
          <w:tcPr>
            <w:tcW w:w="90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6,559</w:t>
            </w:r>
          </w:p>
        </w:tc>
        <w:tc>
          <w:tcPr>
            <w:tcW w:w="68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0.9</w:t>
            </w:r>
          </w:p>
        </w:tc>
        <w:tc>
          <w:tcPr>
            <w:tcW w:w="10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914</w:t>
            </w:r>
          </w:p>
        </w:tc>
        <w:tc>
          <w:tcPr>
            <w:tcW w:w="10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140</w:t>
            </w:r>
          </w:p>
        </w:tc>
        <w:tc>
          <w:tcPr>
            <w:tcW w:w="44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3"/>
                <w:szCs w:val="13"/>
                <w:b w:val="1"/>
                <w:bCs w:val="1"/>
                <w:color w:val="auto"/>
              </w:rPr>
              <w:t>Loss before taxes</w:t>
            </w: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(209,364)</w:t>
            </w:r>
          </w:p>
        </w:tc>
        <w:tc>
          <w:tcPr>
            <w:tcW w:w="180" w:type="dxa"/>
            <w:vAlign w:val="bottom"/>
            <w:vMerge w:val="continue"/>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(6.4)</w:t>
            </w:r>
          </w:p>
        </w:tc>
        <w:tc>
          <w:tcPr>
            <w:tcW w:w="18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(732,809)</w:t>
            </w:r>
          </w:p>
        </w:tc>
        <w:tc>
          <w:tcPr>
            <w:tcW w:w="180" w:type="dxa"/>
            <w:vAlign w:val="bottom"/>
            <w:vMerge w:val="continue"/>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(18.6)</w:t>
            </w:r>
          </w:p>
        </w:tc>
        <w:tc>
          <w:tcPr>
            <w:tcW w:w="20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(510,412)</w:t>
            </w:r>
          </w:p>
        </w:tc>
        <w:tc>
          <w:tcPr>
            <w:tcW w:w="18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(77,904)</w:t>
            </w:r>
          </w:p>
        </w:tc>
        <w:tc>
          <w:tcPr>
            <w:tcW w:w="200" w:type="dxa"/>
            <w:vAlign w:val="bottom"/>
            <w:vMerge w:val="continue"/>
          </w:tcPr>
          <w:p>
            <w:pPr>
              <w:spacing w:after="0"/>
              <w:rPr>
                <w:sz w:val="12"/>
                <w:szCs w:val="12"/>
                <w:color w:val="auto"/>
              </w:rPr>
            </w:pPr>
          </w:p>
        </w:tc>
        <w:tc>
          <w:tcPr>
            <w:tcW w:w="58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(10.5)</w:t>
            </w:r>
          </w:p>
        </w:tc>
        <w:tc>
          <w:tcPr>
            <w:tcW w:w="78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(194,012)</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(28.0)</w:t>
            </w:r>
          </w:p>
        </w:tc>
        <w:tc>
          <w:tcPr>
            <w:tcW w:w="20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(113,628)</w:t>
            </w:r>
          </w:p>
        </w:tc>
        <w:tc>
          <w:tcPr>
            <w:tcW w:w="200" w:type="dxa"/>
            <w:vAlign w:val="bottom"/>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(17,342)</w:t>
            </w:r>
          </w:p>
        </w:tc>
        <w:tc>
          <w:tcPr>
            <w:tcW w:w="200" w:type="dxa"/>
            <w:vAlign w:val="bottom"/>
            <w:vMerge w:val="continue"/>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(7.5)</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Income tax benefits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1,922</w:t>
            </w:r>
          </w:p>
        </w:tc>
        <w:tc>
          <w:tcPr>
            <w:tcW w:w="4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0.0</w:t>
            </w: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30,120</w:t>
            </w:r>
          </w:p>
        </w:tc>
        <w:tc>
          <w:tcPr>
            <w:tcW w:w="580" w:type="dxa"/>
            <w:vAlign w:val="bottom"/>
            <w:gridSpan w:val="2"/>
            <w:shd w:val="clear" w:color="auto" w:fill="CCEEFF"/>
          </w:tcPr>
          <w:p>
            <w:pPr>
              <w:jc w:val="right"/>
              <w:ind w:right="146"/>
              <w:spacing w:after="0" w:line="135" w:lineRule="exact"/>
              <w:rPr>
                <w:sz w:val="20"/>
                <w:szCs w:val="20"/>
                <w:color w:val="auto"/>
              </w:rPr>
            </w:pPr>
            <w:r>
              <w:rPr>
                <w:rFonts w:ascii="Arial" w:cs="Arial" w:eastAsia="Arial" w:hAnsi="Arial"/>
                <w:sz w:val="13"/>
                <w:szCs w:val="13"/>
                <w:color w:val="auto"/>
              </w:rPr>
              <w:t>0.8</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47,320</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7,222</w:t>
            </w:r>
          </w:p>
        </w:tc>
        <w:tc>
          <w:tcPr>
            <w:tcW w:w="5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1.0</w:t>
            </w: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12,028</w:t>
            </w:r>
          </w:p>
        </w:tc>
        <w:tc>
          <w:tcPr>
            <w:tcW w:w="68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1.7</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19,459</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2,970</w:t>
            </w:r>
          </w:p>
        </w:tc>
        <w:tc>
          <w:tcPr>
            <w:tcW w:w="4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Share of loss in</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380"/>
              <w:spacing w:after="0" w:line="135" w:lineRule="exact"/>
              <w:rPr>
                <w:sz w:val="20"/>
                <w:szCs w:val="20"/>
                <w:color w:val="auto"/>
              </w:rPr>
            </w:pPr>
            <w:r>
              <w:rPr>
                <w:rFonts w:ascii="Arial" w:cs="Arial" w:eastAsia="Arial" w:hAnsi="Arial"/>
                <w:sz w:val="13"/>
                <w:szCs w:val="13"/>
                <w:color w:val="auto"/>
              </w:rPr>
              <w:t>equity method</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investments</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(499)</w:t>
            </w:r>
          </w:p>
        </w:tc>
        <w:tc>
          <w:tcPr>
            <w:tcW w:w="4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0.0</w:t>
            </w:r>
          </w:p>
        </w:tc>
        <w:tc>
          <w:tcPr>
            <w:tcW w:w="9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(2,199)</w:t>
            </w:r>
          </w:p>
        </w:tc>
        <w:tc>
          <w:tcPr>
            <w:tcW w:w="580" w:type="dxa"/>
            <w:vAlign w:val="bottom"/>
            <w:gridSpan w:val="2"/>
          </w:tcPr>
          <w:p>
            <w:pPr>
              <w:jc w:val="right"/>
              <w:ind w:right="106"/>
              <w:spacing w:after="0" w:line="141" w:lineRule="exact"/>
              <w:rPr>
                <w:sz w:val="20"/>
                <w:szCs w:val="20"/>
                <w:color w:val="auto"/>
              </w:rPr>
            </w:pPr>
            <w:r>
              <w:rPr>
                <w:rFonts w:ascii="Arial" w:cs="Arial" w:eastAsia="Arial" w:hAnsi="Arial"/>
                <w:sz w:val="13"/>
                <w:szCs w:val="13"/>
                <w:color w:val="auto"/>
              </w:rPr>
              <w:t>(0.1)</w:t>
            </w:r>
          </w:p>
        </w:tc>
        <w:tc>
          <w:tcPr>
            <w:tcW w:w="9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(7,526)</w:t>
            </w:r>
          </w:p>
        </w:tc>
        <w:tc>
          <w:tcPr>
            <w:tcW w:w="9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(1,149)</w:t>
            </w:r>
          </w:p>
        </w:tc>
        <w:tc>
          <w:tcPr>
            <w:tcW w:w="5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(0.2)</w:t>
            </w:r>
          </w:p>
        </w:tc>
        <w:tc>
          <w:tcPr>
            <w:tcW w:w="90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(4,281)</w:t>
            </w:r>
          </w:p>
        </w:tc>
        <w:tc>
          <w:tcPr>
            <w:tcW w:w="68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(0.6)</w:t>
            </w:r>
          </w:p>
        </w:tc>
        <w:tc>
          <w:tcPr>
            <w:tcW w:w="100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(612)</w:t>
            </w:r>
          </w:p>
        </w:tc>
        <w:tc>
          <w:tcPr>
            <w:tcW w:w="100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(93)</w:t>
            </w:r>
          </w:p>
        </w:tc>
        <w:tc>
          <w:tcPr>
            <w:tcW w:w="44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loss</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(207,941)</w:t>
            </w:r>
          </w:p>
        </w:tc>
        <w:tc>
          <w:tcPr>
            <w:tcW w:w="4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(6.4)</w:t>
            </w: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(704,888)</w:t>
            </w:r>
          </w:p>
        </w:tc>
        <w:tc>
          <w:tcPr>
            <w:tcW w:w="580" w:type="dxa"/>
            <w:vAlign w:val="bottom"/>
            <w:gridSpan w:val="2"/>
            <w:shd w:val="clear" w:color="auto" w:fill="CCEEFF"/>
          </w:tcPr>
          <w:p>
            <w:pPr>
              <w:jc w:val="right"/>
              <w:ind w:right="106"/>
              <w:spacing w:after="0" w:line="135" w:lineRule="exact"/>
              <w:rPr>
                <w:sz w:val="20"/>
                <w:szCs w:val="20"/>
                <w:color w:val="auto"/>
              </w:rPr>
            </w:pPr>
            <w:r>
              <w:rPr>
                <w:rFonts w:ascii="Arial" w:cs="Arial" w:eastAsia="Arial" w:hAnsi="Arial"/>
                <w:sz w:val="13"/>
                <w:szCs w:val="13"/>
                <w:b w:val="1"/>
                <w:bCs w:val="1"/>
                <w:color w:val="auto"/>
              </w:rPr>
              <w:t>(17.9)</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(470,618)</w:t>
            </w: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(71,831)</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(9.7)</w:t>
            </w: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(186,265)</w:t>
            </w:r>
          </w:p>
        </w:tc>
        <w:tc>
          <w:tcPr>
            <w:tcW w:w="68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b w:val="1"/>
                <w:bCs w:val="1"/>
                <w:color w:val="auto"/>
              </w:rPr>
              <w:t>26.9</w:t>
            </w: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(94,781)</w:t>
            </w: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(14,465)</w:t>
            </w: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line="148" w:lineRule="exact"/>
              <w:rPr>
                <w:sz w:val="20"/>
                <w:szCs w:val="20"/>
                <w:color w:val="auto"/>
              </w:rPr>
            </w:pPr>
            <w:r>
              <w:rPr>
                <w:rFonts w:ascii="Arial" w:cs="Arial" w:eastAsia="Arial" w:hAnsi="Arial"/>
                <w:sz w:val="13"/>
                <w:szCs w:val="13"/>
                <w:b w:val="1"/>
                <w:bCs w:val="1"/>
                <w:color w:val="auto"/>
              </w:rPr>
              <w:t>Net loss per share</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5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attributable to</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ordinary</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40" w:type="dxa"/>
            <w:vAlign w:val="bottom"/>
          </w:tcPr>
          <w:p>
            <w:pPr>
              <w:ind w:left="120"/>
              <w:spacing w:after="0"/>
              <w:rPr>
                <w:sz w:val="20"/>
                <w:szCs w:val="20"/>
                <w:color w:val="auto"/>
              </w:rPr>
            </w:pPr>
            <w:r>
              <w:rPr>
                <w:rFonts w:ascii="Arial" w:cs="Arial" w:eastAsia="Arial" w:hAnsi="Arial"/>
                <w:sz w:val="13"/>
                <w:szCs w:val="13"/>
                <w:b w:val="1"/>
                <w:bCs w:val="1"/>
                <w:color w:val="auto"/>
              </w:rPr>
              <w:t>shareholders: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Basic</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(55.98)</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(84.27)</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(94.51)</w:t>
            </w: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(14.43)</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(27.28)</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(32.13)</w:t>
            </w: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(4.90)</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Diluted</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(55.98)</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(84.27)</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(94.51)</w:t>
            </w: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(14.43)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(27.28)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(32.13)</w:t>
            </w: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(4.90)</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4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Weighted average</w:t>
            </w: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number of shares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used in calculating</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b w:val="1"/>
                <w:bCs w:val="1"/>
                <w:color w:val="auto"/>
              </w:rPr>
              <w:t>net loss per ordinary</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share</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Basic</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19,405,981</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18,782,620</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Diluted</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19,405,981</w:t>
            </w: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18,782,620</w:t>
            </w:r>
          </w:p>
        </w:tc>
        <w:tc>
          <w:tcPr>
            <w:tcW w:w="9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18,782,620</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18,782,620</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540" w:type="dxa"/>
            <w:vAlign w:val="bottom"/>
          </w:tcPr>
          <w:p>
            <w:pPr>
              <w:spacing w:after="0" w:line="113" w:lineRule="exact"/>
              <w:rPr>
                <w:sz w:val="20"/>
                <w:szCs w:val="20"/>
                <w:color w:val="auto"/>
              </w:rPr>
            </w:pPr>
            <w:r>
              <w:rPr>
                <w:rFonts w:ascii="Arial" w:cs="Arial" w:eastAsia="Arial" w:hAnsi="Arial"/>
                <w:sz w:val="13"/>
                <w:szCs w:val="13"/>
                <w:b w:val="1"/>
                <w:bCs w:val="1"/>
                <w:color w:val="auto"/>
              </w:rPr>
              <w:t>Non-GAAP financial</w:t>
            </w: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540" w:type="dxa"/>
            <w:vAlign w:val="bottom"/>
          </w:tcPr>
          <w:p>
            <w:pPr>
              <w:ind w:left="120"/>
              <w:spacing w:after="0"/>
              <w:rPr>
                <w:sz w:val="20"/>
                <w:szCs w:val="20"/>
                <w:color w:val="auto"/>
              </w:rPr>
            </w:pPr>
            <w:r>
              <w:rPr>
                <w:rFonts w:ascii="Arial" w:cs="Arial" w:eastAsia="Arial" w:hAnsi="Arial"/>
                <w:sz w:val="13"/>
                <w:szCs w:val="13"/>
                <w:b w:val="1"/>
                <w:bCs w:val="1"/>
                <w:color w:val="auto"/>
              </w:rPr>
              <w:t>measures</w:t>
            </w:r>
            <w:r>
              <w:rPr>
                <w:rFonts w:ascii="Arial" w:cs="Arial" w:eastAsia="Arial" w:hAnsi="Arial"/>
                <w:sz w:val="10"/>
                <w:szCs w:val="10"/>
                <w:b w:val="1"/>
                <w:bCs w:val="1"/>
                <w:color w:val="auto"/>
              </w:rPr>
              <w:t>(1)</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Adjusted loss from</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operations</w:t>
            </w: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(232,798)</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(535,178)</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(143,654)</w:t>
            </w:r>
          </w:p>
        </w:tc>
        <w:tc>
          <w:tcPr>
            <w:tcW w:w="9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(21,926)</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(118,846)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(33,572)</w:t>
            </w:r>
          </w:p>
        </w:tc>
        <w:tc>
          <w:tcPr>
            <w:tcW w:w="100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(5,124)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540" w:type="dxa"/>
            <w:vAlign w:val="bottom"/>
          </w:tcPr>
          <w:p>
            <w:pPr>
              <w:spacing w:after="0"/>
              <w:rPr>
                <w:sz w:val="20"/>
                <w:szCs w:val="20"/>
                <w:color w:val="auto"/>
              </w:rPr>
            </w:pPr>
            <w:r>
              <w:rPr>
                <w:rFonts w:ascii="Arial" w:cs="Arial" w:eastAsia="Arial" w:hAnsi="Arial"/>
                <w:sz w:val="13"/>
                <w:szCs w:val="13"/>
                <w:color w:val="auto"/>
              </w:rPr>
              <w:t>Adjusted net loss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(209,981)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(538,380)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(202,815)</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(30,956)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(118,193)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(36,402)</w:t>
            </w: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(5,555)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 “Summary Consolidated Financial and Operating Data—Non-GAAP Financial Measures.”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2018, 2019, 2020 and March 31,</w:t>
      </w:r>
    </w:p>
    <w:p>
      <w:pPr>
        <w:ind w:left="120"/>
        <w:spacing w:after="0"/>
        <w:rPr>
          <w:sz w:val="20"/>
          <w:szCs w:val="20"/>
          <w:color w:val="auto"/>
        </w:rPr>
      </w:pPr>
      <w:r>
        <w:rPr>
          <w:rFonts w:ascii="Arial" w:cs="Arial" w:eastAsia="Arial" w:hAnsi="Arial"/>
          <w:sz w:val="18"/>
          <w:szCs w:val="18"/>
          <w:color w:val="auto"/>
        </w:rPr>
        <w:t>2021:</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3"/>
          </w:tcPr>
          <w:p>
            <w:pPr>
              <w:jc w:val="right"/>
              <w:ind w:right="674"/>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As of March 31,</w:t>
            </w:r>
          </w:p>
        </w:tc>
      </w:tr>
      <w:tr>
        <w:trPr>
          <w:trHeight w:val="155"/>
        </w:trPr>
        <w:tc>
          <w:tcPr>
            <w:tcW w:w="3840" w:type="dxa"/>
            <w:vAlign w:val="bottom"/>
          </w:tcPr>
          <w:p>
            <w:pPr>
              <w:spacing w:after="0"/>
              <w:rPr>
                <w:sz w:val="13"/>
                <w:szCs w:val="13"/>
                <w:color w:val="auto"/>
              </w:rPr>
            </w:pPr>
          </w:p>
        </w:tc>
        <w:tc>
          <w:tcPr>
            <w:tcW w:w="102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Borders>
              <w:top w:val="single" w:sz="8" w:color="auto"/>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3840" w:type="dxa"/>
            <w:vAlign w:val="bottom"/>
          </w:tcPr>
          <w:p>
            <w:pPr>
              <w:spacing w:after="0"/>
              <w:rPr>
                <w:sz w:val="13"/>
                <w:szCs w:val="13"/>
                <w:color w:val="auto"/>
              </w:rPr>
            </w:pPr>
          </w:p>
        </w:tc>
        <w:tc>
          <w:tcPr>
            <w:tcW w:w="1020" w:type="dxa"/>
            <w:vAlign w:val="bottom"/>
            <w:tcBorders>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RMB</w:t>
            </w:r>
          </w:p>
        </w:tc>
        <w:tc>
          <w:tcPr>
            <w:tcW w:w="8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RMB</w:t>
            </w:r>
          </w:p>
        </w:tc>
        <w:tc>
          <w:tcPr>
            <w:tcW w:w="9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3"/>
                <w:szCs w:val="13"/>
                <w:color w:val="auto"/>
              </w:rPr>
            </w:pPr>
          </w:p>
        </w:tc>
      </w:tr>
      <w:tr>
        <w:trPr>
          <w:trHeight w:val="156"/>
        </w:trPr>
        <w:tc>
          <w:tcPr>
            <w:tcW w:w="3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3"/>
          </w:tcPr>
          <w:p>
            <w:pPr>
              <w:jc w:val="right"/>
              <w:ind w:right="740"/>
              <w:spacing w:after="0" w:line="155" w:lineRule="exact"/>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665,560</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410,783</w:t>
            </w: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918,076</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140,126</w:t>
            </w:r>
          </w:p>
        </w:tc>
        <w:tc>
          <w:tcPr>
            <w:tcW w:w="14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657,218</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100,311</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Total current assets</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1,059,530</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1,094,908</w:t>
            </w:r>
          </w:p>
        </w:tc>
        <w:tc>
          <w:tcPr>
            <w:tcW w:w="13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1,874,638</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286,126</w:t>
            </w:r>
          </w:p>
        </w:tc>
        <w:tc>
          <w:tcPr>
            <w:tcW w:w="142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1,871,923</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285,711</w:t>
            </w:r>
          </w:p>
        </w:tc>
      </w:tr>
      <w:tr>
        <w:trPr>
          <w:trHeight w:val="202"/>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18,991</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1,682,963</w:t>
            </w: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1,367,841</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208,773</w:t>
            </w:r>
          </w:p>
        </w:tc>
        <w:tc>
          <w:tcPr>
            <w:tcW w:w="14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1,290,002</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196,893</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2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1,803,415</w:t>
            </w:r>
          </w:p>
        </w:tc>
        <w:tc>
          <w:tcPr>
            <w:tcW w:w="13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1,803,415</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275,255</w:t>
            </w:r>
          </w:p>
        </w:tc>
        <w:tc>
          <w:tcPr>
            <w:tcW w:w="142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1,803,415</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275,255</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non-current assets</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170,945</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3,690,539</w:t>
            </w: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3,351,700</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511,569</w:t>
            </w:r>
          </w:p>
        </w:tc>
        <w:tc>
          <w:tcPr>
            <w:tcW w:w="14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3,279,697</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500,580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1,230,475</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4,785,447</w:t>
            </w:r>
          </w:p>
        </w:tc>
        <w:tc>
          <w:tcPr>
            <w:tcW w:w="13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5,226,338</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797,695</w:t>
            </w:r>
          </w:p>
        </w:tc>
        <w:tc>
          <w:tcPr>
            <w:tcW w:w="142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5,151,620</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786,291</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590,702</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755,093</w:t>
            </w: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1,183,539</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180,643</w:t>
            </w:r>
          </w:p>
        </w:tc>
        <w:tc>
          <w:tcPr>
            <w:tcW w:w="14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1,079,737</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164,800</w:t>
            </w: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Total non-current liabilities</w:t>
            </w:r>
          </w:p>
        </w:tc>
        <w:tc>
          <w:tcPr>
            <w:tcW w:w="12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3,466</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389,280</w:t>
            </w:r>
          </w:p>
        </w:tc>
        <w:tc>
          <w:tcPr>
            <w:tcW w:w="1360" w:type="dxa"/>
            <w:vAlign w:val="bottom"/>
          </w:tcPr>
          <w:p>
            <w:pPr>
              <w:jc w:val="right"/>
              <w:ind w:right="234"/>
              <w:spacing w:after="0" w:line="202" w:lineRule="exact"/>
              <w:rPr>
                <w:sz w:val="20"/>
                <w:szCs w:val="20"/>
                <w:color w:val="auto"/>
              </w:rPr>
            </w:pPr>
            <w:r>
              <w:rPr>
                <w:rFonts w:ascii="Arial" w:cs="Arial" w:eastAsia="Arial" w:hAnsi="Arial"/>
                <w:sz w:val="18"/>
                <w:szCs w:val="18"/>
                <w:color w:val="auto"/>
              </w:rPr>
              <w:t>374,584</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57,173</w:t>
            </w:r>
          </w:p>
        </w:tc>
        <w:tc>
          <w:tcPr>
            <w:tcW w:w="1420" w:type="dxa"/>
            <w:vAlign w:val="bottom"/>
          </w:tcPr>
          <w:p>
            <w:pPr>
              <w:jc w:val="right"/>
              <w:ind w:right="274"/>
              <w:spacing w:after="0" w:line="202" w:lineRule="exact"/>
              <w:rPr>
                <w:sz w:val="20"/>
                <w:szCs w:val="20"/>
                <w:color w:val="auto"/>
              </w:rPr>
            </w:pPr>
            <w:r>
              <w:rPr>
                <w:rFonts w:ascii="Arial" w:cs="Arial" w:eastAsia="Arial" w:hAnsi="Arial"/>
                <w:sz w:val="18"/>
                <w:szCs w:val="18"/>
                <w:color w:val="auto"/>
              </w:rPr>
              <w:t>344,656</w:t>
            </w: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52,605</w:t>
            </w:r>
          </w:p>
        </w:tc>
      </w:tr>
      <w:tr>
        <w:trPr>
          <w:trHeight w:val="203"/>
        </w:trPr>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594,168</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1,144,373</w:t>
            </w:r>
          </w:p>
        </w:tc>
        <w:tc>
          <w:tcPr>
            <w:tcW w:w="1360" w:type="dxa"/>
            <w:vAlign w:val="bottom"/>
            <w:shd w:val="clear" w:color="auto" w:fill="CCEEFF"/>
          </w:tcPr>
          <w:p>
            <w:pPr>
              <w:jc w:val="right"/>
              <w:ind w:right="234"/>
              <w:spacing w:after="0" w:line="202" w:lineRule="exact"/>
              <w:rPr>
                <w:sz w:val="20"/>
                <w:szCs w:val="20"/>
                <w:color w:val="auto"/>
              </w:rPr>
            </w:pPr>
            <w:r>
              <w:rPr>
                <w:rFonts w:ascii="Arial" w:cs="Arial" w:eastAsia="Arial" w:hAnsi="Arial"/>
                <w:sz w:val="18"/>
                <w:szCs w:val="18"/>
                <w:color w:val="auto"/>
              </w:rPr>
              <w:t>1,558,123</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237,816</w:t>
            </w:r>
          </w:p>
        </w:tc>
        <w:tc>
          <w:tcPr>
            <w:tcW w:w="1420" w:type="dxa"/>
            <w:vAlign w:val="bottom"/>
            <w:shd w:val="clear" w:color="auto" w:fill="CCEEFF"/>
          </w:tcPr>
          <w:p>
            <w:pPr>
              <w:jc w:val="right"/>
              <w:ind w:right="274"/>
              <w:spacing w:after="0" w:line="202" w:lineRule="exact"/>
              <w:rPr>
                <w:sz w:val="20"/>
                <w:szCs w:val="20"/>
                <w:color w:val="auto"/>
              </w:rPr>
            </w:pPr>
            <w:r>
              <w:rPr>
                <w:rFonts w:ascii="Arial" w:cs="Arial" w:eastAsia="Arial" w:hAnsi="Arial"/>
                <w:sz w:val="18"/>
                <w:szCs w:val="18"/>
                <w:color w:val="auto"/>
              </w:rPr>
              <w:t>1,424,393</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217,405</w:t>
            </w:r>
          </w:p>
        </w:tc>
      </w:tr>
      <w:tr>
        <w:trPr>
          <w:trHeight w:val="217"/>
        </w:trPr>
        <w:tc>
          <w:tcPr>
            <w:tcW w:w="3840" w:type="dxa"/>
            <w:vAlign w:val="bottom"/>
          </w:tcPr>
          <w:p>
            <w:pPr>
              <w:spacing w:after="0"/>
              <w:rPr>
                <w:sz w:val="20"/>
                <w:szCs w:val="20"/>
                <w:color w:val="auto"/>
              </w:rPr>
            </w:pPr>
            <w:r>
              <w:rPr>
                <w:rFonts w:ascii="Arial" w:cs="Arial" w:eastAsia="Arial" w:hAnsi="Arial"/>
                <w:sz w:val="18"/>
                <w:szCs w:val="18"/>
                <w:color w:val="auto"/>
              </w:rPr>
              <w:t>Mezzanine equity</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2,492,056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7,080,078</w:t>
            </w:r>
          </w:p>
        </w:tc>
        <w:tc>
          <w:tcPr>
            <w:tcW w:w="1360" w:type="dxa"/>
            <w:vAlign w:val="bottom"/>
          </w:tcPr>
          <w:p>
            <w:pPr>
              <w:jc w:val="right"/>
              <w:ind w:right="234"/>
              <w:spacing w:after="0"/>
              <w:rPr>
                <w:sz w:val="20"/>
                <w:szCs w:val="20"/>
                <w:color w:val="auto"/>
              </w:rPr>
            </w:pPr>
            <w:r>
              <w:rPr>
                <w:rFonts w:ascii="Arial" w:cs="Arial" w:eastAsia="Arial" w:hAnsi="Arial"/>
                <w:sz w:val="18"/>
                <w:szCs w:val="18"/>
                <w:color w:val="auto"/>
              </w:rPr>
              <w:t>8,879,894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1,355,337</w:t>
            </w:r>
          </w:p>
        </w:tc>
        <w:tc>
          <w:tcPr>
            <w:tcW w:w="1420" w:type="dxa"/>
            <w:vAlign w:val="bottom"/>
          </w:tcPr>
          <w:p>
            <w:pPr>
              <w:jc w:val="right"/>
              <w:ind w:right="274"/>
              <w:spacing w:after="0"/>
              <w:rPr>
                <w:sz w:val="20"/>
                <w:szCs w:val="20"/>
                <w:color w:val="auto"/>
              </w:rPr>
            </w:pPr>
            <w:r>
              <w:rPr>
                <w:rFonts w:ascii="Arial" w:cs="Arial" w:eastAsia="Arial" w:hAnsi="Arial"/>
                <w:sz w:val="18"/>
                <w:szCs w:val="18"/>
                <w:color w:val="auto"/>
              </w:rPr>
              <w:t>9,542,589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1,456,484</w:t>
            </w:r>
          </w:p>
        </w:tc>
      </w:tr>
      <w:tr>
        <w:trPr>
          <w:trHeight w:val="350"/>
        </w:trPr>
        <w:tc>
          <w:tcPr>
            <w:tcW w:w="3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The following table presents our selected consolidated statements of cash flows data for the years ended December 31, 2018, 2019 and 2020 and the three months ended March 31, 2020 and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36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4"/>
                <w:szCs w:val="14"/>
                <w:b w:val="1"/>
                <w:bCs w:val="1"/>
                <w:color w:val="auto"/>
              </w:rPr>
              <w:t>For the Year Ended December 31,</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5"/>
        </w:trPr>
        <w:tc>
          <w:tcPr>
            <w:tcW w:w="3620" w:type="dxa"/>
            <w:vAlign w:val="bottom"/>
          </w:tcPr>
          <w:p>
            <w:pPr>
              <w:spacing w:after="0"/>
              <w:rPr>
                <w:sz w:val="13"/>
                <w:szCs w:val="13"/>
                <w:color w:val="auto"/>
              </w:rPr>
            </w:pPr>
          </w:p>
        </w:tc>
        <w:tc>
          <w:tcPr>
            <w:tcW w:w="84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8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56"/>
        </w:trPr>
        <w:tc>
          <w:tcPr>
            <w:tcW w:w="3620" w:type="dxa"/>
            <w:vAlign w:val="bottom"/>
          </w:tcPr>
          <w:p>
            <w:pPr>
              <w:spacing w:after="0"/>
              <w:rPr>
                <w:sz w:val="13"/>
                <w:szCs w:val="13"/>
                <w:color w:val="auto"/>
              </w:rPr>
            </w:pPr>
          </w:p>
        </w:tc>
        <w:tc>
          <w:tcPr>
            <w:tcW w:w="84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RMB</w:t>
            </w:r>
          </w:p>
        </w:tc>
        <w:tc>
          <w:tcPr>
            <w:tcW w:w="7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55"/>
              <w:spacing w:after="0" w:line="155" w:lineRule="exact"/>
              <w:rPr>
                <w:sz w:val="20"/>
                <w:szCs w:val="20"/>
                <w:color w:val="auto"/>
              </w:rPr>
            </w:pPr>
            <w:r>
              <w:rPr>
                <w:rFonts w:ascii="Arial" w:cs="Arial" w:eastAsia="Arial" w:hAnsi="Arial"/>
                <w:sz w:val="14"/>
                <w:szCs w:val="14"/>
                <w:b w:val="1"/>
                <w:bCs w:val="1"/>
                <w:color w:val="auto"/>
              </w:rPr>
              <w:t>RMB</w:t>
            </w:r>
          </w:p>
        </w:tc>
        <w:tc>
          <w:tcPr>
            <w:tcW w:w="72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3"/>
                <w:szCs w:val="13"/>
                <w:color w:val="auto"/>
              </w:rPr>
            </w:pPr>
          </w:p>
        </w:tc>
      </w:tr>
      <w:tr>
        <w:trPr>
          <w:trHeight w:val="155"/>
        </w:trPr>
        <w:tc>
          <w:tcPr>
            <w:tcW w:w="3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3"/>
          </w:tcPr>
          <w:p>
            <w:pPr>
              <w:jc w:val="center"/>
              <w:ind w:left="795"/>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3"/>
        </w:trPr>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080" w:type="dxa"/>
            <w:vAlign w:val="bottom"/>
            <w:gridSpan w:val="2"/>
            <w:shd w:val="clear" w:color="auto" w:fill="CCEEFF"/>
          </w:tcPr>
          <w:p>
            <w:pPr>
              <w:jc w:val="right"/>
              <w:ind w:right="108"/>
              <w:spacing w:after="0" w:line="202" w:lineRule="exact"/>
              <w:rPr>
                <w:sz w:val="20"/>
                <w:szCs w:val="20"/>
                <w:color w:val="auto"/>
              </w:rPr>
            </w:pPr>
            <w:r>
              <w:rPr>
                <w:rFonts w:ascii="Arial" w:cs="Arial" w:eastAsia="Arial" w:hAnsi="Arial"/>
                <w:sz w:val="18"/>
                <w:szCs w:val="18"/>
                <w:color w:val="auto"/>
              </w:rPr>
              <w:t>(358,022)</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(410,794)</w:t>
            </w:r>
          </w:p>
        </w:tc>
        <w:tc>
          <w:tcPr>
            <w:tcW w:w="116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(412,868)</w:t>
            </w:r>
          </w:p>
        </w:tc>
        <w:tc>
          <w:tcPr>
            <w:tcW w:w="9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(63,016)</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(203,109)</w:t>
            </w:r>
          </w:p>
        </w:tc>
        <w:tc>
          <w:tcPr>
            <w:tcW w:w="118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(302,526)</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(46,174)</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Net cash (used in)/provided by investing</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620" w:type="dxa"/>
            <w:vAlign w:val="bottom"/>
          </w:tcPr>
          <w:p>
            <w:pPr>
              <w:ind w:left="180"/>
              <w:spacing w:after="0" w:line="203" w:lineRule="exact"/>
              <w:rPr>
                <w:sz w:val="20"/>
                <w:szCs w:val="20"/>
                <w:color w:val="auto"/>
              </w:rPr>
            </w:pPr>
            <w:r>
              <w:rPr>
                <w:rFonts w:ascii="Arial" w:cs="Arial" w:eastAsia="Arial" w:hAnsi="Arial"/>
                <w:sz w:val="18"/>
                <w:szCs w:val="18"/>
                <w:color w:val="auto"/>
              </w:rPr>
              <w:t>activities</w:t>
            </w:r>
          </w:p>
        </w:tc>
        <w:tc>
          <w:tcPr>
            <w:tcW w:w="1080" w:type="dxa"/>
            <w:vAlign w:val="bottom"/>
            <w:gridSpan w:val="2"/>
          </w:tcPr>
          <w:p>
            <w:pPr>
              <w:jc w:val="right"/>
              <w:ind w:right="108"/>
              <w:spacing w:after="0" w:line="203" w:lineRule="exact"/>
              <w:rPr>
                <w:sz w:val="20"/>
                <w:szCs w:val="20"/>
                <w:color w:val="auto"/>
              </w:rPr>
            </w:pPr>
            <w:r>
              <w:rPr>
                <w:rFonts w:ascii="Arial" w:cs="Arial" w:eastAsia="Arial" w:hAnsi="Arial"/>
                <w:sz w:val="18"/>
                <w:szCs w:val="18"/>
                <w:color w:val="auto"/>
              </w:rPr>
              <w:t>(109,267)</w:t>
            </w:r>
          </w:p>
        </w:tc>
        <w:tc>
          <w:tcPr>
            <w:tcW w:w="10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(304,349)</w:t>
            </w:r>
          </w:p>
        </w:tc>
        <w:tc>
          <w:tcPr>
            <w:tcW w:w="116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18,625</w:t>
            </w:r>
          </w:p>
        </w:tc>
        <w:tc>
          <w:tcPr>
            <w:tcW w:w="9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2,843</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7,788</w:t>
            </w:r>
          </w:p>
        </w:tc>
        <w:tc>
          <w:tcPr>
            <w:tcW w:w="118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86,845</w:t>
            </w: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13,255</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by/(used in) financing</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6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activities</w:t>
            </w:r>
          </w:p>
        </w:tc>
        <w:tc>
          <w:tcPr>
            <w:tcW w:w="108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904,022</w:t>
            </w:r>
          </w:p>
        </w:tc>
        <w:tc>
          <w:tcPr>
            <w:tcW w:w="10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455,751</w:t>
            </w:r>
          </w:p>
        </w:tc>
        <w:tc>
          <w:tcPr>
            <w:tcW w:w="1160" w:type="dxa"/>
            <w:vAlign w:val="bottom"/>
            <w:shd w:val="clear" w:color="auto" w:fill="CCEEFF"/>
          </w:tcPr>
          <w:p>
            <w:pPr>
              <w:jc w:val="right"/>
              <w:ind w:right="235"/>
              <w:spacing w:after="0" w:line="203" w:lineRule="exact"/>
              <w:rPr>
                <w:sz w:val="20"/>
                <w:szCs w:val="20"/>
                <w:color w:val="auto"/>
              </w:rPr>
            </w:pPr>
            <w:r>
              <w:rPr>
                <w:rFonts w:ascii="Arial" w:cs="Arial" w:eastAsia="Arial" w:hAnsi="Arial"/>
                <w:sz w:val="18"/>
                <w:szCs w:val="18"/>
                <w:color w:val="auto"/>
              </w:rPr>
              <w:t>929,962</w:t>
            </w:r>
          </w:p>
        </w:tc>
        <w:tc>
          <w:tcPr>
            <w:tcW w:w="9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141,940</w:t>
            </w:r>
          </w:p>
        </w:tc>
        <w:tc>
          <w:tcPr>
            <w:tcW w:w="11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86,977</w:t>
            </w:r>
          </w:p>
        </w:tc>
        <w:tc>
          <w:tcPr>
            <w:tcW w:w="1180" w:type="dxa"/>
            <w:vAlign w:val="bottom"/>
            <w:shd w:val="clear" w:color="auto" w:fill="CCEEFF"/>
          </w:tcPr>
          <w:p>
            <w:pPr>
              <w:jc w:val="right"/>
              <w:ind w:right="175"/>
              <w:spacing w:after="0" w:line="203" w:lineRule="exact"/>
              <w:rPr>
                <w:sz w:val="20"/>
                <w:szCs w:val="20"/>
                <w:color w:val="auto"/>
              </w:rPr>
            </w:pPr>
            <w:r>
              <w:rPr>
                <w:rFonts w:ascii="Arial" w:cs="Arial" w:eastAsia="Arial" w:hAnsi="Arial"/>
                <w:sz w:val="18"/>
                <w:szCs w:val="18"/>
                <w:color w:val="auto"/>
              </w:rPr>
              <w:t>(44,103)</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(6,731)</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Effect of foreign exchange rate changes on</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620" w:type="dxa"/>
            <w:vAlign w:val="bottom"/>
          </w:tcPr>
          <w:p>
            <w:pPr>
              <w:ind w:left="180"/>
              <w:spacing w:after="0" w:line="203" w:lineRule="exact"/>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ind w:right="168"/>
              <w:spacing w:after="0" w:line="203" w:lineRule="exact"/>
              <w:rPr>
                <w:sz w:val="20"/>
                <w:szCs w:val="20"/>
                <w:color w:val="auto"/>
              </w:rPr>
            </w:pPr>
            <w:r>
              <w:rPr>
                <w:rFonts w:ascii="Arial" w:cs="Arial" w:eastAsia="Arial" w:hAnsi="Arial"/>
                <w:sz w:val="18"/>
                <w:szCs w:val="18"/>
                <w:color w:val="auto"/>
              </w:rPr>
              <w:t>33,179</w:t>
            </w:r>
          </w:p>
        </w:tc>
        <w:tc>
          <w:tcPr>
            <w:tcW w:w="10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4,515</w:t>
            </w:r>
          </w:p>
        </w:tc>
        <w:tc>
          <w:tcPr>
            <w:tcW w:w="1160" w:type="dxa"/>
            <w:vAlign w:val="bottom"/>
          </w:tcPr>
          <w:p>
            <w:pPr>
              <w:jc w:val="right"/>
              <w:ind w:right="175"/>
              <w:spacing w:after="0" w:line="203" w:lineRule="exact"/>
              <w:rPr>
                <w:sz w:val="20"/>
                <w:szCs w:val="20"/>
                <w:color w:val="auto"/>
              </w:rPr>
            </w:pPr>
            <w:r>
              <w:rPr>
                <w:rFonts w:ascii="Arial" w:cs="Arial" w:eastAsia="Arial" w:hAnsi="Arial"/>
                <w:sz w:val="18"/>
                <w:szCs w:val="18"/>
                <w:color w:val="auto"/>
              </w:rPr>
              <w:t>(28,426)</w:t>
            </w:r>
          </w:p>
        </w:tc>
        <w:tc>
          <w:tcPr>
            <w:tcW w:w="9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(4,339)</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2,008</w:t>
            </w:r>
          </w:p>
        </w:tc>
        <w:tc>
          <w:tcPr>
            <w:tcW w:w="118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2,731</w:t>
            </w: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417</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increase/(decrease) in cash, cash</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6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equivalents and restricted cash</w:t>
            </w:r>
          </w:p>
        </w:tc>
        <w:tc>
          <w:tcPr>
            <w:tcW w:w="108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469,912</w:t>
            </w:r>
          </w:p>
        </w:tc>
        <w:tc>
          <w:tcPr>
            <w:tcW w:w="10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(254,877)</w:t>
            </w:r>
          </w:p>
        </w:tc>
        <w:tc>
          <w:tcPr>
            <w:tcW w:w="1160" w:type="dxa"/>
            <w:vAlign w:val="bottom"/>
            <w:shd w:val="clear" w:color="auto" w:fill="CCEEFF"/>
          </w:tcPr>
          <w:p>
            <w:pPr>
              <w:jc w:val="right"/>
              <w:ind w:right="235"/>
              <w:spacing w:after="0" w:line="203" w:lineRule="exact"/>
              <w:rPr>
                <w:sz w:val="20"/>
                <w:szCs w:val="20"/>
                <w:color w:val="auto"/>
              </w:rPr>
            </w:pPr>
            <w:r>
              <w:rPr>
                <w:rFonts w:ascii="Arial" w:cs="Arial" w:eastAsia="Arial" w:hAnsi="Arial"/>
                <w:sz w:val="18"/>
                <w:szCs w:val="18"/>
                <w:color w:val="auto"/>
              </w:rPr>
              <w:t>507,293</w:t>
            </w:r>
          </w:p>
        </w:tc>
        <w:tc>
          <w:tcPr>
            <w:tcW w:w="9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77,428</w:t>
            </w:r>
          </w:p>
        </w:tc>
        <w:tc>
          <w:tcPr>
            <w:tcW w:w="110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(106,336)</w:t>
            </w:r>
          </w:p>
        </w:tc>
        <w:tc>
          <w:tcPr>
            <w:tcW w:w="1180" w:type="dxa"/>
            <w:vAlign w:val="bottom"/>
            <w:shd w:val="clear" w:color="auto" w:fill="CCEEFF"/>
          </w:tcPr>
          <w:p>
            <w:pPr>
              <w:jc w:val="right"/>
              <w:ind w:right="175"/>
              <w:spacing w:after="0" w:line="203" w:lineRule="exact"/>
              <w:rPr>
                <w:sz w:val="20"/>
                <w:szCs w:val="20"/>
                <w:color w:val="auto"/>
              </w:rPr>
            </w:pPr>
            <w:r>
              <w:rPr>
                <w:rFonts w:ascii="Arial" w:cs="Arial" w:eastAsia="Arial" w:hAnsi="Arial"/>
                <w:sz w:val="18"/>
                <w:szCs w:val="18"/>
                <w:color w:val="auto"/>
              </w:rPr>
              <w:t>(257,053)</w:t>
            </w:r>
          </w:p>
        </w:tc>
        <w:tc>
          <w:tcPr>
            <w:tcW w:w="8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(39,234)</w:t>
            </w: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Cash, cash equivalents and restricted cash</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620" w:type="dxa"/>
            <w:vAlign w:val="bottom"/>
          </w:tcPr>
          <w:p>
            <w:pPr>
              <w:ind w:left="180"/>
              <w:spacing w:after="0" w:line="203" w:lineRule="exact"/>
              <w:rPr>
                <w:sz w:val="20"/>
                <w:szCs w:val="20"/>
                <w:color w:val="auto"/>
              </w:rPr>
            </w:pPr>
            <w:r>
              <w:rPr>
                <w:rFonts w:ascii="Arial" w:cs="Arial" w:eastAsia="Arial" w:hAnsi="Arial"/>
                <w:sz w:val="18"/>
                <w:szCs w:val="18"/>
                <w:color w:val="auto"/>
              </w:rPr>
              <w:t>at the beginning of the period</w:t>
            </w:r>
          </w:p>
        </w:tc>
        <w:tc>
          <w:tcPr>
            <w:tcW w:w="1080" w:type="dxa"/>
            <w:vAlign w:val="bottom"/>
            <w:gridSpan w:val="2"/>
          </w:tcPr>
          <w:p>
            <w:pPr>
              <w:jc w:val="right"/>
              <w:ind w:right="168"/>
              <w:spacing w:after="0" w:line="203" w:lineRule="exact"/>
              <w:rPr>
                <w:sz w:val="20"/>
                <w:szCs w:val="20"/>
                <w:color w:val="auto"/>
              </w:rPr>
            </w:pPr>
            <w:r>
              <w:rPr>
                <w:rFonts w:ascii="Arial" w:cs="Arial" w:eastAsia="Arial" w:hAnsi="Arial"/>
                <w:sz w:val="18"/>
                <w:szCs w:val="18"/>
                <w:color w:val="auto"/>
              </w:rPr>
              <w:t>196,048</w:t>
            </w:r>
          </w:p>
        </w:tc>
        <w:tc>
          <w:tcPr>
            <w:tcW w:w="10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665,960</w:t>
            </w:r>
          </w:p>
        </w:tc>
        <w:tc>
          <w:tcPr>
            <w:tcW w:w="116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411,083</w:t>
            </w:r>
          </w:p>
        </w:tc>
        <w:tc>
          <w:tcPr>
            <w:tcW w:w="9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62,744</w:t>
            </w:r>
          </w:p>
        </w:tc>
        <w:tc>
          <w:tcPr>
            <w:tcW w:w="11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411,083</w:t>
            </w:r>
          </w:p>
        </w:tc>
        <w:tc>
          <w:tcPr>
            <w:tcW w:w="1180" w:type="dxa"/>
            <w:vAlign w:val="bottom"/>
          </w:tcPr>
          <w:p>
            <w:pPr>
              <w:jc w:val="right"/>
              <w:ind w:right="235"/>
              <w:spacing w:after="0" w:line="203" w:lineRule="exact"/>
              <w:rPr>
                <w:sz w:val="20"/>
                <w:szCs w:val="20"/>
                <w:color w:val="auto"/>
              </w:rPr>
            </w:pPr>
            <w:r>
              <w:rPr>
                <w:rFonts w:ascii="Arial" w:cs="Arial" w:eastAsia="Arial" w:hAnsi="Arial"/>
                <w:sz w:val="18"/>
                <w:szCs w:val="18"/>
                <w:color w:val="auto"/>
              </w:rPr>
              <w:t>918,376</w:t>
            </w: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140,172</w:t>
            </w: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restricted cash</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6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at the end of the period</w:t>
            </w:r>
          </w:p>
        </w:tc>
        <w:tc>
          <w:tcPr>
            <w:tcW w:w="1080" w:type="dxa"/>
            <w:vAlign w:val="bottom"/>
            <w:gridSpan w:val="2"/>
            <w:shd w:val="clear" w:color="auto" w:fill="CCEEFF"/>
          </w:tcPr>
          <w:p>
            <w:pPr>
              <w:jc w:val="right"/>
              <w:ind w:right="168"/>
              <w:spacing w:after="0" w:line="203" w:lineRule="exact"/>
              <w:rPr>
                <w:sz w:val="20"/>
                <w:szCs w:val="20"/>
                <w:color w:val="auto"/>
              </w:rPr>
            </w:pPr>
            <w:r>
              <w:rPr>
                <w:rFonts w:ascii="Arial" w:cs="Arial" w:eastAsia="Arial" w:hAnsi="Arial"/>
                <w:sz w:val="18"/>
                <w:szCs w:val="18"/>
                <w:color w:val="auto"/>
              </w:rPr>
              <w:t>665,960</w:t>
            </w:r>
          </w:p>
        </w:tc>
        <w:tc>
          <w:tcPr>
            <w:tcW w:w="10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411,083</w:t>
            </w:r>
          </w:p>
        </w:tc>
        <w:tc>
          <w:tcPr>
            <w:tcW w:w="1160" w:type="dxa"/>
            <w:vAlign w:val="bottom"/>
            <w:shd w:val="clear" w:color="auto" w:fill="CCEEFF"/>
          </w:tcPr>
          <w:p>
            <w:pPr>
              <w:jc w:val="right"/>
              <w:ind w:right="235"/>
              <w:spacing w:after="0" w:line="203" w:lineRule="exact"/>
              <w:rPr>
                <w:sz w:val="20"/>
                <w:szCs w:val="20"/>
                <w:color w:val="auto"/>
              </w:rPr>
            </w:pPr>
            <w:r>
              <w:rPr>
                <w:rFonts w:ascii="Arial" w:cs="Arial" w:eastAsia="Arial" w:hAnsi="Arial"/>
                <w:sz w:val="18"/>
                <w:szCs w:val="18"/>
                <w:color w:val="auto"/>
              </w:rPr>
              <w:t>918,376</w:t>
            </w:r>
          </w:p>
        </w:tc>
        <w:tc>
          <w:tcPr>
            <w:tcW w:w="9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140,172</w:t>
            </w:r>
          </w:p>
        </w:tc>
        <w:tc>
          <w:tcPr>
            <w:tcW w:w="11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304,747</w:t>
            </w:r>
          </w:p>
        </w:tc>
        <w:tc>
          <w:tcPr>
            <w:tcW w:w="1180" w:type="dxa"/>
            <w:vAlign w:val="bottom"/>
            <w:shd w:val="clear" w:color="auto" w:fill="CCEEFF"/>
          </w:tcPr>
          <w:p>
            <w:pPr>
              <w:jc w:val="right"/>
              <w:ind w:right="235"/>
              <w:spacing w:after="0" w:line="203" w:lineRule="exact"/>
              <w:rPr>
                <w:sz w:val="20"/>
                <w:szCs w:val="20"/>
                <w:color w:val="auto"/>
              </w:rPr>
            </w:pPr>
            <w:r>
              <w:rPr>
                <w:rFonts w:ascii="Arial" w:cs="Arial" w:eastAsia="Arial" w:hAnsi="Arial"/>
                <w:sz w:val="18"/>
                <w:szCs w:val="18"/>
                <w:color w:val="auto"/>
              </w:rPr>
              <w:t>661,323</w:t>
            </w:r>
          </w:p>
        </w:tc>
        <w:tc>
          <w:tcPr>
            <w:tcW w:w="8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100,938</w:t>
            </w:r>
          </w:p>
        </w:tc>
      </w:tr>
      <w:tr>
        <w:trPr>
          <w:trHeight w:val="365"/>
        </w:trPr>
        <w:tc>
          <w:tcPr>
            <w:tcW w:w="3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4" w:lineRule="exact"/>
        <w:rPr>
          <w:sz w:val="20"/>
          <w:szCs w:val="20"/>
          <w:color w:val="auto"/>
        </w:rPr>
      </w:pPr>
    </w:p>
    <w:p>
      <w:pPr>
        <w:ind w:left="120" w:right="320" w:firstLine="551"/>
        <w:spacing w:after="0" w:line="24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related notes included elsewhere in this prospectus. Our actual results may differ materially from those we currently anticipate as a result of many factors, including those we describe under “Risk Factors” and elsewhere in this prospectus. See “Special Note Regarding Forward-Looking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are the largest pre-owned consumer electronics transactions and services platform in China in terms of GMV for electronics and number of devices transacted by merchants and consumers, with a market share of 6.6% and 8.7% in terms of GMV for electronics and number of devices transacted, respectively, in 2020, according to the CIC Report. Our GMV for electronics and number of devices transacted on our platform for the year ended December 31, 2020 were both greater than the next five largest platforms combined, according to the CIC Report. Total GMV transacted on our platform was RMB19.6 billion and the number of consumer products transacted on our platform was over 23 million for the year ended December 31, 2020, representing year-over-year growth from the year ended December 31, 2019 of 60.7% and 48.4%, respectively. Total GMV transacted on our platform was RMB6.2 billion and the number of consumer products transacted on our platform was over 6.4 million for the three months ended March 31, 2021, representing period-over-period growth from the three months ended March 31, 2020 of 106.7% and 68.4%, respectively.</w:t>
      </w:r>
    </w:p>
    <w:p>
      <w:pPr>
        <w:spacing w:after="0" w:line="207" w:lineRule="exact"/>
        <w:rPr>
          <w:sz w:val="20"/>
          <w:szCs w:val="20"/>
          <w:color w:val="auto"/>
        </w:rPr>
      </w:pPr>
    </w:p>
    <w:p>
      <w:pPr>
        <w:ind w:left="120" w:right="300" w:firstLine="551"/>
        <w:spacing w:after="0" w:line="237" w:lineRule="auto"/>
        <w:rPr>
          <w:sz w:val="20"/>
          <w:szCs w:val="20"/>
          <w:color w:val="auto"/>
        </w:rPr>
      </w:pPr>
      <w:r>
        <w:rPr>
          <w:rFonts w:ascii="Arial" w:cs="Arial" w:eastAsia="Arial" w:hAnsi="Arial"/>
          <w:sz w:val="18"/>
          <w:szCs w:val="18"/>
          <w:color w:val="auto"/>
        </w:rPr>
        <w:t>Our platform digitally integrates every step of the pre-owned consumer electronics value chain. We obtain supply of pre-owned consumer electronics, process pre-owned consumer electronics for resale using our proprietary inspection, grading, and pricing technologies in our centralized operations centers, and distribute the processed electronics to a variety of purchasers. We transact with consumers and small merchants at both the supply and demand sides of the value chain, ensuring that a diverse range of participants have access to our platform. Our end-to-end coverage of the value chain and diverse supply and demand combine with our quality and pricing benchmarks to standardize the industry in China.</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generate revenue from the sale of phones and other consumer electronics goods through our platform. We also charge commission fees to third-party merchants for participating in our online marketplace. Our net revenue increased by 20.6% from RMB3,261.5 million in 2018 to RMB3,931.9 million in 2019, and further by 23.6% to RMB4,858.2 million (US$741.5 million) in 2020. Our net revenue increased by 118.8% from RMB692.2 million in the three months ended March 31, 2020 to RMB1,514.4 million (US$231.1 million) in the same period of 2021. Our loss from operations was RMB256.5 million, RMB731.8 million, RMB458.8 million (US$70.0 million) and RMB111.4 million (US$17.0 million) in 2018, 2019, 2020 and the three months ended March 31, 2021, respectively. Our adjusted loss from operations, a non-GAAP financial measure, was RMB232.8 million, RMB535.2 million, RMB143.7 million (US$ 21.9 million) and RMB33.6 million (US$5.1 million) in 2018, 2019, 2020 and the three months ended March 31, 2021, respectively. We recorded net loss of RMB207.9 million, RMB704.9 million, RMB470.6 million (US$71.8 million) and RMB94.8 million (US$14.5 million) in 2018, 2019, 2020 and the three months ended March 31, 2021, respectively. Our adjusted net loss, a non-GAAP financial measure, was RMB210.0 million, RMB538.4 million, RMB202.8 million (US$31.0 million) and RMB36.4 million (US$5.6 million) in 2018, 2019, 2020 and the three months ended March 31, 2021, respectively. See “Summary Consolidated Financial and Operating Data—Non-GAAP Financial Measures.”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factors affecting our results of operations include the following:</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increase the number of consumer products transacted</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number of consumer products transacted is one of the most important drivers for our GMV, which directly affects our revenue. In particular, we are the largest pre-owned consumer electronics transactions and services platform in China in terms of GMV for electronics and the number of devices transacted by merchants and consumers, with a market share of 6.6% and 8.7% in terms of GMV for electronics and the number of devices transacted, respectively, in 2020, according to the CIC Report. We believe we capture unparalleled supply and demand for pre-owned consumer electronics.</w:t>
      </w:r>
    </w:p>
    <w:p>
      <w:pPr>
        <w:spacing w:after="0" w:line="202" w:lineRule="exact"/>
        <w:rPr>
          <w:sz w:val="20"/>
          <w:szCs w:val="20"/>
          <w:color w:val="auto"/>
        </w:rPr>
      </w:pPr>
    </w:p>
    <w:p>
      <w:pPr>
        <w:ind w:left="120" w:right="500" w:firstLine="551"/>
        <w:spacing w:after="0" w:line="238" w:lineRule="auto"/>
        <w:rPr>
          <w:sz w:val="20"/>
          <w:szCs w:val="20"/>
          <w:color w:val="auto"/>
        </w:rPr>
      </w:pPr>
      <w:r>
        <w:rPr>
          <w:rFonts w:ascii="Arial" w:cs="Arial" w:eastAsia="Arial" w:hAnsi="Arial"/>
          <w:sz w:val="18"/>
          <w:szCs w:val="18"/>
          <w:color w:val="auto"/>
        </w:rPr>
        <w:t>Our unique supply and demand flywheel helps attract an increasing number of buyers and sellers to us to transact pre-owned consumer products. We have an omni-channel procurement network to secure supply both online and offline. We are also a go-to destination to purchase pre-owned devices for consumers and merchants. We fulfil significant demand from small merchants and consumers nationwide through PJT Marketplace and Paipai Marketplace, respectively.</w:t>
      </w:r>
    </w:p>
    <w:p>
      <w:pPr>
        <w:spacing w:after="0" w:line="205"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believe we are able to continue increasing the number of consumer products transacted through the strong value propositions provided by us. We have made pre-owned transactions and services more user-friendly, efficient, transparent, secure, and environmentally friendly.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effectively control supply of pre-owned consumer electronic devices</w:t>
      </w:r>
    </w:p>
    <w:p>
      <w:pPr>
        <w:spacing w:after="0" w:line="12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Our ability to control the supply of pre-owned consumer electronic devices is our key competitive advantage in the industry. Our fully integrated online-offline sourcing network combined with our strategic partnerships with JD Group, major phone brands and retailers ensure that we are able to effectively source the supply to consistently meet the demand of buyers coming to us.</w:t>
      </w:r>
    </w:p>
    <w:p>
      <w:pPr>
        <w:spacing w:after="0" w:line="203" w:lineRule="exact"/>
        <w:rPr>
          <w:sz w:val="20"/>
          <w:szCs w:val="20"/>
          <w:color w:val="auto"/>
        </w:rPr>
      </w:pPr>
    </w:p>
    <w:p>
      <w:pPr>
        <w:jc w:val="both"/>
        <w:ind w:left="120" w:right="260" w:firstLine="551"/>
        <w:spacing w:after="0" w:line="257" w:lineRule="auto"/>
        <w:rPr>
          <w:sz w:val="20"/>
          <w:szCs w:val="20"/>
          <w:color w:val="auto"/>
        </w:rPr>
      </w:pPr>
      <w:r>
        <w:rPr>
          <w:rFonts w:ascii="Arial" w:cs="Arial" w:eastAsia="Arial" w:hAnsi="Arial"/>
          <w:sz w:val="17"/>
          <w:szCs w:val="17"/>
          <w:color w:val="auto"/>
        </w:rPr>
        <w:t>We source supply from our website, mobile app, mobile mini programs, AHS stores and self-service kiosks with broad coverage from top-tier to lower-tier cities. The omni-channel procurement network allows us to quickly secure supply of consumer electronics and scale up our business. In 2020 and for the three months ended March 31, 2021, we had 23.6 million and 6.4 million consumer products transacted, respectively. Our leading sourcing network together with our in depth know-how of the industry bring more demand to us.</w:t>
      </w:r>
    </w:p>
    <w:p>
      <w:pPr>
        <w:spacing w:after="0" w:line="189"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are expanding our sources of supply through more AHS stores, deeper collaboration with JD Group, increased penetration of authorized distribution channels from brands, as well as more merchant empowerment services. We will further expand our offline network of stores and self-service kiosks and increase our penetration into lower-tier cities across China. We aim to further our relationships with key partners, including JD Group, to continuously vitalize and grow the supply of goods.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also facilitate the sale of pre-owned devices from merchants directly to consumers or other merchants through our open marketplaces, Paipai Marketplace and PJT Marketplace. Paipai Marketplace and PJT Marketplace empower small merchants and consumers by providing them with proprietary technologies that enable the trade-in of devices. We believe we are well positioned to capitalize on the secular tailwind of consumers’ increasing willingness to trade in pre-owned devices and greater transaction activities from merchants.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effectively distribute pre-owned consumer electronic devices</w:t>
      </w:r>
    </w:p>
    <w:p>
      <w:pPr>
        <w:spacing w:after="0" w:line="126" w:lineRule="exact"/>
        <w:rPr>
          <w:sz w:val="20"/>
          <w:szCs w:val="20"/>
          <w:color w:val="auto"/>
        </w:rPr>
      </w:pPr>
    </w:p>
    <w:p>
      <w:pPr>
        <w:ind w:left="120" w:right="660" w:firstLine="551"/>
        <w:spacing w:after="0" w:line="246" w:lineRule="auto"/>
        <w:rPr>
          <w:sz w:val="20"/>
          <w:szCs w:val="20"/>
          <w:color w:val="auto"/>
        </w:rPr>
      </w:pPr>
      <w:r>
        <w:rPr>
          <w:rFonts w:ascii="Arial" w:cs="Arial" w:eastAsia="Arial" w:hAnsi="Arial"/>
          <w:sz w:val="18"/>
          <w:szCs w:val="18"/>
          <w:color w:val="auto"/>
        </w:rPr>
        <w:t>Our ability to effectively distribute pre-owned consumer electronic devices sourced from both AHS channels and third-party channels directly affects our revenue.</w:t>
      </w:r>
    </w:p>
    <w:p>
      <w:pPr>
        <w:spacing w:after="0" w:line="197"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have an effective distribution strategy for our own inventory based on increasingly automated inspection, grading and pricing, as well as accurate targeting of buyers. We sell high unit price products to consumers through Paipai Marketplace and mid-to-low unit price products to merchants and retailers through PJT Marketplace.</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also effectively distribute supplies from third-party transactions through our advanced auction and bidding infrastructure. We use a blind auction model through which participants can only access the information of the device for sale but cannot view information of the seller and other bidders or the bidding prices of other participating bidders. Our highly efficient auction and bidding model has significantly improved bidding efficiency and provides merchants with faster turnaround. Our processing time of inspection, grading and pricing for each device before shipping takes approximately three days, while that of competitors takes up to ten days or longer, according to the CIC Report.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monetize self-operated and third-party transactions on our online marketplaces</w:t>
      </w:r>
    </w:p>
    <w:p>
      <w:pPr>
        <w:spacing w:after="0" w:line="126"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The monetization level from both our self-operated and third-party transactions on our PJT Marketplace and Paipai Marketplace directly affects our revenue. We generate net product revenue from self-operated transactions, and net service revenue from third-party transactions on our online marketplaces.</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sell our own inventory with a markup irrespective of conditions of the device, thanks to our advanced pricing mechanism that sets the industry standard. We also improve monetization from our AHS stores by providing more complementary services such as instant repair and insurance.</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For third-party transactions, we believe there are opportunities to improve our commission rate as we continue to scale, further diversify the categories of devices and other consumer goods transacted, and monetize more services that are currently delivered to sellers and buyers for free, such as supply chain, smart security, digital storefront and marketing campaigns. Moreover, we expect net service revenues to account for an increasing percentage of total net revenues because we expect a higher increase in terms of GMV for online marketplaces.</w:t>
      </w:r>
    </w:p>
    <w:p>
      <w:pPr>
        <w:spacing w:after="0" w:line="202" w:lineRule="exact"/>
        <w:rPr>
          <w:sz w:val="20"/>
          <w:szCs w:val="20"/>
          <w:color w:val="auto"/>
        </w:rPr>
      </w:pPr>
    </w:p>
    <w:p>
      <w:pPr>
        <w:ind w:left="120" w:right="480" w:firstLine="551"/>
        <w:spacing w:after="0"/>
        <w:rPr>
          <w:sz w:val="20"/>
          <w:szCs w:val="20"/>
          <w:color w:val="auto"/>
        </w:rPr>
      </w:pPr>
      <w:r>
        <w:rPr>
          <w:rFonts w:ascii="Arial" w:cs="Arial" w:eastAsia="Arial" w:hAnsi="Arial"/>
          <w:sz w:val="18"/>
          <w:szCs w:val="18"/>
          <w:color w:val="auto"/>
        </w:rPr>
        <w:t>Additionally, we expect a higher percentage of pre-owned devices will be transacted on our online marketplaces using our operation centers, or through our consignment model, from which we can charge higher commission than the POP model where the transacted devices do not go through our operation centers.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leverage technology in our operations</w:t>
      </w:r>
    </w:p>
    <w:p>
      <w:pPr>
        <w:spacing w:after="0" w:line="126" w:lineRule="exact"/>
        <w:rPr>
          <w:sz w:val="20"/>
          <w:szCs w:val="20"/>
          <w:color w:val="auto"/>
        </w:rPr>
      </w:pPr>
    </w:p>
    <w:p>
      <w:pPr>
        <w:ind w:left="120" w:right="200" w:firstLine="551"/>
        <w:spacing w:after="0" w:line="257" w:lineRule="auto"/>
        <w:rPr>
          <w:sz w:val="20"/>
          <w:szCs w:val="20"/>
          <w:color w:val="auto"/>
        </w:rPr>
      </w:pPr>
      <w:r>
        <w:rPr>
          <w:rFonts w:ascii="Arial" w:cs="Arial" w:eastAsia="Arial" w:hAnsi="Arial"/>
          <w:sz w:val="17"/>
          <w:szCs w:val="17"/>
          <w:color w:val="auto"/>
        </w:rPr>
        <w:t>Technology is at the core of our company and drives every aspect of our operations. Our proprietary technologies are key to achieving low turnaround time, efficient operation and quality customer service. Our revolutionary infrastructure provides end-to-end coverage of the value chain and standardizes the inspection, grading, and pricing process. Technology infrastructure at our operation centers supports our growth through automation and data insights, enabling efficient inspection, grading and pricing of devices at scale.</w:t>
      </w:r>
    </w:p>
    <w:p>
      <w:pPr>
        <w:spacing w:after="0" w:line="189"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Automation reduces manual processes in our operation centers, hence reducing the cost of running these centers. We have developed a proprietary automated inspection, grading and pricing</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38" w:lineRule="auto"/>
        <w:rPr>
          <w:sz w:val="20"/>
          <w:szCs w:val="20"/>
          <w:color w:val="auto"/>
        </w:rPr>
      </w:pPr>
      <w:r>
        <w:rPr>
          <w:rFonts w:ascii="Arial" w:cs="Arial" w:eastAsia="Arial" w:hAnsi="Arial"/>
          <w:sz w:val="18"/>
          <w:szCs w:val="18"/>
          <w:color w:val="auto"/>
        </w:rPr>
        <w:t>system utilized by our operation centers. Our operation centers are able to assign quality grading to pre-owned devices on scale significantly faster and cheaper than manual inspection. As a result, we achieve superior efficiency and accuracy for our inspection, grading and pricing process. As of March 31, 2021, we operated 7 centralized operation centers, including a fully automated center in Changzhou and 23 city-level operation stations equipped with proprietary data-driven processing technologies.</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Big data and artificial intelligence enable us to optimize our pricing strategies and ensure efficient day-to-day operation of our AHS stores. By analyzing thousands of phone models, millions of transactions, and the purchasing behavior of millions of consumers and small merchants, we provide benchmarks for quality and pricing in the industry. Our data capabilities allow us to capture key in-store foot prints to optimize store management and provide standardized customer service offerings, which greatly improve the operation efficiencies of our AHS stores.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Technology permeates every aspect of our operations. We will continue to invest in technology to further scale our platform.</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control costs and expenses and enhance operational efficiency</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Our results of operations are affected by our ability to control our operating costs and expenses. Our costs and expenses consist of merchandise costs, fulfillment expenses, selling and marketing expenses, technology and content expenses, and general and administrative expenses. We expect our costs and expenses to continue to increase as we grow the number of consumer products transacted. To ensure the scaling of our business is carried out in an efficient and cost-effective manner, we have strengthened our strategic relationship with JD Group to benefit from its large and active consumer traffic at a reasonable cost. We will also further optimize fulfillment costs through more efficient management of warehousing and logistics.</w:t>
      </w:r>
    </w:p>
    <w:p>
      <w:pPr>
        <w:spacing w:after="0" w:line="205"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We believe our scale, coupled with the flywheel effect of our platform, will allow us to benefit more from substantial economies of scale and improve operational efficiency.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Operating Metrics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evaluate the number of devices transacted and GMV as key metrics affecting our results of operations.</w:t>
      </w:r>
    </w:p>
    <w:p>
      <w:pPr>
        <w:spacing w:after="0" w:line="190"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b w:val="1"/>
          <w:bCs w:val="1"/>
          <w:i w:val="1"/>
          <w:iCs w:val="1"/>
          <w:color w:val="auto"/>
        </w:rPr>
        <w:t xml:space="preserve">Number of consumer products transacted. </w:t>
      </w:r>
      <w:r>
        <w:rPr>
          <w:rFonts w:ascii="Arial" w:cs="Arial" w:eastAsia="Arial" w:hAnsi="Arial"/>
          <w:sz w:val="18"/>
          <w:szCs w:val="18"/>
          <w:color w:val="auto"/>
        </w:rPr>
        <w:t>Our number of consumer products transacted calculates the number of consumer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distributed to merchants and consumers through transactions on our PJT Marketplace, Paipai Marketplace and other channels we operate in a given period, prior to returns and cancellations, excluding the number of consumer products collected through AHS Recycle. A single consumer product may be counted more than once according to the number of times it is transacted on our PJT Marketplace, Paipai Marketplace and other channels we operate through the distribution process to end consumer. We track the number of consumer products transacted to measure our sourcing capabilities and our ability to distribute pre-owned consumer products.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b w:val="1"/>
                <w:bCs w:val="1"/>
                <w:color w:val="auto"/>
              </w:rPr>
              <w:t>For the Three Months</w:t>
            </w:r>
          </w:p>
        </w:tc>
      </w:tr>
      <w:tr>
        <w:trPr>
          <w:trHeight w:val="175"/>
        </w:trPr>
        <w:tc>
          <w:tcPr>
            <w:tcW w:w="4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80" w:type="dxa"/>
            <w:vAlign w:val="bottom"/>
            <w:gridSpan w:val="6"/>
          </w:tcPr>
          <w:p>
            <w:pPr>
              <w:ind w:left="400"/>
              <w:spacing w:after="0"/>
              <w:rPr>
                <w:sz w:val="20"/>
                <w:szCs w:val="20"/>
                <w:color w:val="auto"/>
              </w:rPr>
            </w:pPr>
            <w:r>
              <w:rPr>
                <w:rFonts w:ascii="Arial" w:cs="Arial" w:eastAsia="Arial" w:hAnsi="Arial"/>
                <w:sz w:val="14"/>
                <w:szCs w:val="14"/>
                <w:b w:val="1"/>
                <w:bCs w:val="1"/>
                <w:color w:val="auto"/>
              </w:rPr>
              <w:t>For the Year Ended December 31,</w:t>
            </w:r>
          </w:p>
        </w:tc>
        <w:tc>
          <w:tcPr>
            <w:tcW w:w="1920" w:type="dxa"/>
            <w:vAlign w:val="bottom"/>
            <w:gridSpan w:val="4"/>
          </w:tcPr>
          <w:p>
            <w:pPr>
              <w:ind w:left="360"/>
              <w:spacing w:after="0"/>
              <w:rPr>
                <w:sz w:val="20"/>
                <w:szCs w:val="20"/>
                <w:color w:val="auto"/>
              </w:rPr>
            </w:pPr>
            <w:r>
              <w:rPr>
                <w:rFonts w:ascii="Arial" w:cs="Arial" w:eastAsia="Arial" w:hAnsi="Arial"/>
                <w:sz w:val="14"/>
                <w:szCs w:val="14"/>
                <w:b w:val="1"/>
                <w:bCs w:val="1"/>
                <w:color w:val="auto"/>
              </w:rPr>
              <w:t>Ended March 31,</w:t>
            </w:r>
          </w:p>
        </w:tc>
      </w:tr>
      <w:tr>
        <w:trPr>
          <w:trHeight w:val="155"/>
        </w:trPr>
        <w:tc>
          <w:tcPr>
            <w:tcW w:w="47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44"/>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Number of consumer products transacted (in million)</w:t>
            </w: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23.6</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87"/>
              </w:rPr>
              <w:t>3.8</w:t>
            </w:r>
          </w:p>
        </w:tc>
        <w:tc>
          <w:tcPr>
            <w:tcW w:w="6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7"/>
                <w:szCs w:val="17"/>
                <w:color w:val="auto"/>
              </w:rPr>
            </w:pPr>
          </w:p>
        </w:tc>
      </w:tr>
      <w:tr>
        <w:trPr>
          <w:trHeight w:val="365"/>
        </w:trPr>
        <w:tc>
          <w:tcPr>
            <w:tcW w:w="4760" w:type="dxa"/>
            <w:vAlign w:val="bottom"/>
          </w:tcPr>
          <w:p>
            <w:pPr>
              <w:spacing w:after="0"/>
              <w:rPr>
                <w:sz w:val="24"/>
                <w:szCs w:val="24"/>
                <w:color w:val="auto"/>
              </w:rPr>
            </w:pPr>
          </w:p>
        </w:tc>
        <w:tc>
          <w:tcPr>
            <w:tcW w:w="1160" w:type="dxa"/>
            <w:vAlign w:val="bottom"/>
            <w:gridSpan w:val="2"/>
          </w:tcPr>
          <w:p>
            <w:pPr>
              <w:jc w:val="right"/>
              <w:ind w:right="182"/>
              <w:spacing w:after="0"/>
              <w:rPr>
                <w:sz w:val="20"/>
                <w:szCs w:val="20"/>
                <w:color w:val="auto"/>
              </w:rPr>
            </w:pPr>
            <w:r>
              <w:rPr>
                <w:rFonts w:ascii="Arial" w:cs="Arial" w:eastAsia="Arial" w:hAnsi="Arial"/>
                <w:sz w:val="18"/>
                <w:szCs w:val="18"/>
                <w:color w:val="auto"/>
              </w:rPr>
              <w:t>112</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i w:val="1"/>
          <w:iCs w:val="1"/>
          <w:color w:val="auto"/>
        </w:rPr>
        <w:t>GMV</w:t>
      </w:r>
      <w:r>
        <w:rPr>
          <w:rFonts w:ascii="Arial" w:cs="Arial" w:eastAsia="Arial" w:hAnsi="Arial"/>
          <w:sz w:val="18"/>
          <w:szCs w:val="18"/>
          <w:color w:val="auto"/>
        </w:rPr>
        <w:t>. We define GMV as the total dollar value of goods distributed to merchants and consumers through transactions on our PJT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Marketplace, Paipai Marketplace and other channels we operate in a given period for which payments have been made, prior to returns and cancellations, excluding shipping cost but including sales tax. Total GMV consists of GMV for product sales and GMV for online marketplaces. GMV for product sales measures the GMV from our sales of phones and other consumer electronics goods through our PJT Marketplace, Paipai Marketplace and other channels we operate. GMV for online marketplaces measures the GMV from third-party merchants and/or consumers participating in our PJT Marketplace and Paipai Marketplace. GMV is a measure of the total economic value generated by our business, and an indicator of our scale.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4"/>
          </w:tcPr>
          <w:p>
            <w:pPr>
              <w:ind w:left="180"/>
              <w:spacing w:after="0"/>
              <w:rPr>
                <w:sz w:val="20"/>
                <w:szCs w:val="20"/>
                <w:color w:val="auto"/>
              </w:rPr>
            </w:pPr>
            <w:r>
              <w:rPr>
                <w:rFonts w:ascii="Arial" w:cs="Arial" w:eastAsia="Arial" w:hAnsi="Arial"/>
                <w:sz w:val="14"/>
                <w:szCs w:val="14"/>
                <w:b w:val="1"/>
                <w:bCs w:val="1"/>
                <w:color w:val="auto"/>
              </w:rPr>
              <w:t>For the Three Months</w:t>
            </w:r>
          </w:p>
        </w:tc>
      </w:tr>
      <w:tr>
        <w:trPr>
          <w:trHeight w:val="175"/>
        </w:trPr>
        <w:tc>
          <w:tcPr>
            <w:tcW w:w="5460" w:type="dxa"/>
            <w:vAlign w:val="bottom"/>
          </w:tcPr>
          <w:p>
            <w:pPr>
              <w:spacing w:after="0"/>
              <w:rPr>
                <w:sz w:val="15"/>
                <w:szCs w:val="15"/>
                <w:color w:val="auto"/>
              </w:rPr>
            </w:pPr>
          </w:p>
        </w:tc>
        <w:tc>
          <w:tcPr>
            <w:tcW w:w="36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For the Year Ended December 31,</w:t>
            </w:r>
          </w:p>
        </w:tc>
        <w:tc>
          <w:tcPr>
            <w:tcW w:w="1900" w:type="dxa"/>
            <w:vAlign w:val="bottom"/>
            <w:gridSpan w:val="4"/>
          </w:tcPr>
          <w:p>
            <w:pPr>
              <w:ind w:left="340"/>
              <w:spacing w:after="0"/>
              <w:rPr>
                <w:sz w:val="20"/>
                <w:szCs w:val="20"/>
                <w:color w:val="auto"/>
              </w:rPr>
            </w:pPr>
            <w:r>
              <w:rPr>
                <w:rFonts w:ascii="Arial" w:cs="Arial" w:eastAsia="Arial" w:hAnsi="Arial"/>
                <w:sz w:val="14"/>
                <w:szCs w:val="14"/>
                <w:b w:val="1"/>
                <w:bCs w:val="1"/>
                <w:color w:val="auto"/>
              </w:rPr>
              <w:t>Ended March 31,</w:t>
            </w:r>
          </w:p>
        </w:tc>
      </w:tr>
      <w:tr>
        <w:trPr>
          <w:trHeight w:val="155"/>
        </w:trPr>
        <w:tc>
          <w:tcPr>
            <w:tcW w:w="546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GMV (in billions of RMB)</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6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w:t>
            </w: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87"/>
              </w:rPr>
              <w:t>3.0</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7"/>
                <w:szCs w:val="17"/>
                <w:color w:val="auto"/>
              </w:rPr>
            </w:pPr>
          </w:p>
        </w:tc>
      </w:tr>
      <w:tr>
        <w:trPr>
          <w:trHeight w:val="203"/>
        </w:trPr>
        <w:tc>
          <w:tcPr>
            <w:tcW w:w="5460" w:type="dxa"/>
            <w:vAlign w:val="bottom"/>
          </w:tcPr>
          <w:p>
            <w:pPr>
              <w:ind w:left="360"/>
              <w:spacing w:after="0" w:line="202" w:lineRule="exact"/>
              <w:rPr>
                <w:sz w:val="20"/>
                <w:szCs w:val="20"/>
                <w:color w:val="auto"/>
              </w:rPr>
            </w:pPr>
            <w:r>
              <w:rPr>
                <w:rFonts w:ascii="Arial" w:cs="Arial" w:eastAsia="Arial" w:hAnsi="Arial"/>
                <w:sz w:val="18"/>
                <w:szCs w:val="18"/>
                <w:color w:val="auto"/>
              </w:rPr>
              <w:t>GMV for product sales</w:t>
            </w:r>
          </w:p>
        </w:tc>
        <w:tc>
          <w:tcPr>
            <w:tcW w:w="11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3.3</w:t>
            </w:r>
          </w:p>
        </w:tc>
        <w:tc>
          <w:tcPr>
            <w:tcW w:w="12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3.9</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4.6</w:t>
            </w:r>
          </w:p>
        </w:tc>
        <w:tc>
          <w:tcPr>
            <w:tcW w:w="12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0.6</w:t>
            </w: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4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GMV for online marketplaces</w:t>
            </w:r>
          </w:p>
        </w:tc>
        <w:tc>
          <w:tcPr>
            <w:tcW w:w="11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2.4</w:t>
            </w:r>
          </w:p>
        </w:tc>
        <w:tc>
          <w:tcPr>
            <w:tcW w:w="12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8.3</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15.0</w:t>
            </w:r>
          </w:p>
        </w:tc>
        <w:tc>
          <w:tcPr>
            <w:tcW w:w="12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w:t>
            </w:r>
          </w:p>
        </w:tc>
      </w:tr>
    </w:tbl>
    <w:p>
      <w:pPr>
        <w:spacing w:after="0" w:line="21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Certain components of the product sales GMV arise from ancillary operations that we consider as non-core to our business and from which we will strategically shift away in the future. These non-core operations include promotional sales through PJT marketplace and other channels we operate, which are unrelated to our core operations. GMV generated from these non-core operations was RMB697.7 million, RMB545.6 million and RMB153.6 million in 2018, 2019 and 2020, respectively, and was RMB56.8 million and RMB12.9 million for the three months ended March 31, 2020 and March 31, 2021,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The outbreak of COVID-19 has severely impacted China and the rest of the world. Our business and financial performance have also been adversely affected as a result. In an effort to contain the spread of COVID-19, many countries, including China, have taken precautionary measures, such as imposing travel restrictions, quarantining individuals infected with or suspected of having COVID-19, encouraging employees of enterprises to work remotely, and cancelling public activities, among others.</w:t>
      </w:r>
    </w:p>
    <w:p>
      <w:pPr>
        <w:spacing w:after="0" w:line="205" w:lineRule="exact"/>
        <w:rPr>
          <w:sz w:val="20"/>
          <w:szCs w:val="20"/>
          <w:color w:val="auto"/>
        </w:rPr>
      </w:pPr>
    </w:p>
    <w:p>
      <w:pPr>
        <w:ind w:left="120" w:right="40" w:firstLine="551"/>
        <w:spacing w:after="0" w:line="235" w:lineRule="auto"/>
        <w:rPr>
          <w:sz w:val="20"/>
          <w:szCs w:val="20"/>
          <w:color w:val="auto"/>
        </w:rPr>
      </w:pPr>
      <w:r>
        <w:rPr>
          <w:rFonts w:ascii="Arial" w:cs="Arial" w:eastAsia="Arial" w:hAnsi="Arial"/>
          <w:sz w:val="18"/>
          <w:szCs w:val="18"/>
          <w:color w:val="auto"/>
        </w:rPr>
        <w:t>In order to protect the health and well-being of our employees and consumers, we and our AHS store partners started to temporarily close offline AHS stores in China in late January 2020 and reduced operating hours at offline AHS stores that remained open. We also closed our headquarters and offices and made remote working arrangements. The unplanned store closures resulted in peak closures of a vast majority of offline AHS stores in China in early February 2020. Since that time, the vast majority of offline AHS stores and our headquarters and offices have been reopened in a disciplined manner. By the end of March 31, 2020, all offline AHS stores in China had reopened and operated under normal business hours. Due to such store closures, our operating results in the first quarter of 2020 was negatively affected. The store closure also negatively affected the expansion of our AHS store network. In the first half of 2020, we experienced a decrease in the number of offline AHS stores in China. Our GMV for product sales for the first quarter of 2020 was adversely affected by the temporary closure of offline AHS stores, which negatively affected our collection of pre-owned consumer electronics through offline AHS stores. GMV for product sales decreased from RMB831.5 million in the first quarter of 2019 to RMB625.0 million in the first quarter of 2020. In addition, our inventory level was also negatively affected by such store closures. See “—If we fail to manage our inventory effectively, our results of operations, financial condition and liquidity may be materially and adversely affected” for more information. Besides, we also temporarily closed our regional operation centers in early 2020 due to COVID-19 outbreak. See “—We are subject to certain risks relating to third-party logistics services and our operation centers” for more information.</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Although COVID-19 has been successfully contained in China, COVID-19 remains a global pandemic and different variants of coronavirus have also emerged in different locations around the world. As the COVID-19 pandemic continues to rapidly evolve and there is great uncertainty as to the future progress of the disease, we cannot anticipate with any certainty the length or severity of the effects of COVID-19. Our business operations, results of operations and financial condition could be further adversely affected if a wide spread of COVID-19 happens again in the locations where we or our business partners have business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revenues</w:t>
      </w:r>
    </w:p>
    <w:p>
      <w:pPr>
        <w:spacing w:after="0" w:line="126"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We generate net revenues from product sales and services we provide through our online marketplaces, including PJT Marketplace and Paipai Marketplace, and other channels we operate. The following table sets forth the breakdown of our net revenues by amounts and percentages of net revenues for the periods presented: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For the Year Ended December 31,</w:t>
            </w: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1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For the Three Months Ended March 31,</w:t>
            </w: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80" w:type="dxa"/>
            <w:vAlign w:val="bottom"/>
          </w:tcPr>
          <w:p>
            <w:pPr>
              <w:spacing w:after="0"/>
              <w:rPr>
                <w:sz w:val="13"/>
                <w:szCs w:val="13"/>
                <w:color w:val="auto"/>
              </w:rPr>
            </w:pPr>
          </w:p>
        </w:tc>
        <w:tc>
          <w:tcPr>
            <w:tcW w:w="9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RMB</w:t>
            </w:r>
          </w:p>
        </w:tc>
        <w:tc>
          <w:tcPr>
            <w:tcW w:w="4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RMB</w:t>
            </w:r>
          </w:p>
        </w:tc>
        <w:tc>
          <w:tcPr>
            <w:tcW w:w="4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RMB</w:t>
            </w:r>
          </w:p>
        </w:tc>
        <w:tc>
          <w:tcPr>
            <w:tcW w:w="780" w:type="dxa"/>
            <w:vAlign w:val="bottom"/>
            <w:tcBorders>
              <w:top w:val="single" w:sz="8" w:color="auto"/>
              <w:bottom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US$</w:t>
            </w:r>
          </w:p>
        </w:tc>
        <w:tc>
          <w:tcPr>
            <w:tcW w:w="4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RMB</w:t>
            </w:r>
          </w:p>
        </w:tc>
        <w:tc>
          <w:tcPr>
            <w:tcW w:w="860" w:type="dxa"/>
            <w:vAlign w:val="bottom"/>
            <w:tcBorders>
              <w:top w:val="single" w:sz="8" w:color="auto"/>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US$</w:t>
            </w:r>
          </w:p>
        </w:tc>
        <w:tc>
          <w:tcPr>
            <w:tcW w:w="42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60" w:type="dxa"/>
            <w:vAlign w:val="bottom"/>
            <w:gridSpan w:val="8"/>
          </w:tcPr>
          <w:p>
            <w:pPr>
              <w:jc w:val="right"/>
              <w:ind w:right="300"/>
              <w:spacing w:after="0" w:line="155" w:lineRule="exact"/>
              <w:rPr>
                <w:sz w:val="20"/>
                <w:szCs w:val="20"/>
                <w:color w:val="auto"/>
              </w:rPr>
            </w:pPr>
            <w:r>
              <w:rPr>
                <w:rFonts w:ascii="Arial" w:cs="Arial" w:eastAsia="Arial" w:hAnsi="Arial"/>
                <w:sz w:val="14"/>
                <w:szCs w:val="14"/>
                <w:b w:val="1"/>
                <w:bCs w:val="1"/>
                <w:color w:val="auto"/>
              </w:rPr>
              <w:t>(in thousands, except for percentages)</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revenues:</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280"/>
              <w:spacing w:after="0"/>
              <w:rPr>
                <w:sz w:val="20"/>
                <w:szCs w:val="20"/>
                <w:color w:val="auto"/>
              </w:rPr>
            </w:pPr>
            <w:r>
              <w:rPr>
                <w:rFonts w:ascii="Arial" w:cs="Arial" w:eastAsia="Arial" w:hAnsi="Arial"/>
                <w:sz w:val="14"/>
                <w:szCs w:val="14"/>
                <w:color w:val="auto"/>
              </w:rPr>
              <w:t>Net product revenues</w:t>
            </w:r>
          </w:p>
        </w:tc>
        <w:tc>
          <w:tcPr>
            <w:tcW w:w="760" w:type="dxa"/>
            <w:vAlign w:val="bottom"/>
          </w:tcPr>
          <w:p>
            <w:pPr>
              <w:jc w:val="right"/>
              <w:spacing w:after="0"/>
              <w:rPr>
                <w:sz w:val="20"/>
                <w:szCs w:val="20"/>
                <w:color w:val="auto"/>
              </w:rPr>
            </w:pPr>
            <w:r>
              <w:rPr>
                <w:rFonts w:ascii="Arial" w:cs="Arial" w:eastAsia="Arial" w:hAnsi="Arial"/>
                <w:sz w:val="14"/>
                <w:szCs w:val="14"/>
                <w:color w:val="auto"/>
              </w:rPr>
              <w:t>3,249,923</w:t>
            </w:r>
          </w:p>
        </w:tc>
        <w:tc>
          <w:tcPr>
            <w:tcW w:w="14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99.6</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3,730,206</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94.9</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4,244,023</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647,764</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87.4</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606,103</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87.6</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1,310,547</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200,029</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62"/>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service revenues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11,597</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201,652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614,176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93,742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86,109</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203,884</w:t>
            </w:r>
          </w:p>
        </w:tc>
        <w:tc>
          <w:tcPr>
            <w:tcW w:w="8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31,119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Total net revenues</w:t>
            </w: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80" w:type="dxa"/>
            <w:vAlign w:val="bottom"/>
            <w:vMerge w:val="continue"/>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3,261,520</w:t>
            </w:r>
          </w:p>
        </w:tc>
        <w:tc>
          <w:tcPr>
            <w:tcW w:w="14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100.0</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3,931,858</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100.0</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4,858,199</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741,506</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100.0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692,212</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100.0</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1,514,431</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231,147</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551"/>
        <w:spacing w:after="0" w:line="256" w:lineRule="auto"/>
        <w:rPr>
          <w:sz w:val="20"/>
          <w:szCs w:val="20"/>
          <w:color w:val="auto"/>
        </w:rPr>
      </w:pPr>
      <w:r>
        <w:rPr>
          <w:rFonts w:ascii="Arial" w:cs="Arial" w:eastAsia="Arial" w:hAnsi="Arial"/>
          <w:sz w:val="17"/>
          <w:szCs w:val="17"/>
          <w:i w:val="1"/>
          <w:iCs w:val="1"/>
          <w:color w:val="auto"/>
        </w:rPr>
        <w:t>Net product revenues</w:t>
      </w:r>
      <w:r>
        <w:rPr>
          <w:rFonts w:ascii="Arial" w:cs="Arial" w:eastAsia="Arial" w:hAnsi="Arial"/>
          <w:sz w:val="17"/>
          <w:szCs w:val="17"/>
          <w:color w:val="auto"/>
        </w:rPr>
        <w:t>. We generate revenue from our sale of phones and other consumer electronics goods through our PJT</w:t>
      </w:r>
      <w:r>
        <w:rPr>
          <w:rFonts w:ascii="Arial" w:cs="Arial" w:eastAsia="Arial" w:hAnsi="Arial"/>
          <w:sz w:val="17"/>
          <w:szCs w:val="17"/>
          <w:i w:val="1"/>
          <w:iCs w:val="1"/>
          <w:color w:val="auto"/>
        </w:rPr>
        <w:t xml:space="preserve"> </w:t>
      </w:r>
      <w:r>
        <w:rPr>
          <w:rFonts w:ascii="Arial" w:cs="Arial" w:eastAsia="Arial" w:hAnsi="Arial"/>
          <w:sz w:val="17"/>
          <w:szCs w:val="17"/>
          <w:color w:val="auto"/>
        </w:rPr>
        <w:t>Marketplace, Paipai Marketplace and offline AHS Stores. We procure pre-owned phones and other consumer electronics from consumers, small merchants, consumer electronic brands, e-commerce platforms and retailers through our online and offline channels. We then process the pre-owned consumer electronics using our proprietary inspection, grading, and pricing technologies and sell them at a higher price suggested by our pricing mechanism. We also give our buyers the option to trade in their pre-owned devices for new ones. Revenue generated from non-core operations was RMB671.9 million, RMB524.4 million and RMB149.1 million in 2018, 2019 and 2020, respectively, and was RMB55.1 million and RMB12.5 million for the three months ended March 31, 2020 and March 31, 2021 respectively.</w:t>
      </w:r>
    </w:p>
    <w:p>
      <w:pPr>
        <w:spacing w:after="0" w:line="17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Net service revenues</w:t>
      </w:r>
      <w:r>
        <w:rPr>
          <w:rFonts w:ascii="Arial" w:cs="Arial" w:eastAsia="Arial" w:hAnsi="Arial"/>
          <w:sz w:val="18"/>
          <w:szCs w:val="18"/>
          <w:color w:val="auto"/>
        </w:rPr>
        <w:t>. We charge commission fees to merchants and/or customers for transacting in our online marketplaces.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PJT Marketplace, we charge both the merchants and buyers a commission fee that ranges from a total of approximately 4% to 5% of the executed transaction price. The commission fee charged to the merchants is determined as a percentage based on the executed transaction price, and the commission fee charged to buyers is determined as a negotiated tiered amount. For Paipai Marketplace, commission fees are charged to merchants only, determined as a percentage based on the executed transaction price. For certain merchants who sell products on our online marketplaces, we enter into contractual agreements with these merchants for a fixed monthly marketplace management fee in addition to the commission fees charged for each transaction.</w:t>
      </w:r>
    </w:p>
    <w:p>
      <w:pPr>
        <w:spacing w:after="0" w:line="20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expect both our net product revenues and our net service revenues to continue to increase in the foreseeable future as we continue to rapidly expand our business. We expect net service revenues to account for an increasing percentage of total net revenues as we expect a higher increase in terms of GMV for online marketplaces.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Our operating expenses consist of merchandise costs, fulfillment expenses, selling and marketing expenses, general and administrative expenses and technology and content expenses. The following table sets forth the breakdown of our operating costs and expenses, in amounts and as percentages of total net revenues for each of the periods presented:</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20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3"/>
                <w:szCs w:val="13"/>
                <w:b w:val="1"/>
                <w:bCs w:val="1"/>
                <w:color w:val="auto"/>
                <w:w w:val="98"/>
              </w:rPr>
              <w:t>For the Year Ended December 31,</w:t>
            </w: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3"/>
                <w:szCs w:val="13"/>
                <w:b w:val="1"/>
                <w:bCs w:val="1"/>
                <w:color w:val="auto"/>
                <w:w w:val="95"/>
              </w:rPr>
              <w:t>For the Three Months Ended March 31,</w:t>
            </w:r>
          </w:p>
        </w:tc>
        <w:tc>
          <w:tcPr>
            <w:tcW w:w="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8"/>
        </w:trPr>
        <w:tc>
          <w:tcPr>
            <w:tcW w:w="2080" w:type="dxa"/>
            <w:vAlign w:val="bottom"/>
          </w:tcPr>
          <w:p>
            <w:pPr>
              <w:spacing w:after="0"/>
              <w:rPr>
                <w:sz w:val="11"/>
                <w:szCs w:val="11"/>
                <w:color w:val="auto"/>
              </w:rPr>
            </w:pPr>
          </w:p>
        </w:tc>
        <w:tc>
          <w:tcPr>
            <w:tcW w:w="900" w:type="dxa"/>
            <w:vAlign w:val="bottom"/>
            <w:tcBorders>
              <w:bottom w:val="single" w:sz="8" w:color="auto"/>
            </w:tcBorders>
            <w:gridSpan w:val="2"/>
          </w:tcPr>
          <w:p>
            <w:pPr>
              <w:jc w:val="right"/>
              <w:ind w:right="80"/>
              <w:spacing w:after="0" w:line="129" w:lineRule="exact"/>
              <w:rPr>
                <w:sz w:val="20"/>
                <w:szCs w:val="20"/>
                <w:color w:val="auto"/>
              </w:rPr>
            </w:pPr>
            <w:r>
              <w:rPr>
                <w:rFonts w:ascii="Arial" w:cs="Arial" w:eastAsia="Arial" w:hAnsi="Arial"/>
                <w:sz w:val="13"/>
                <w:szCs w:val="13"/>
                <w:b w:val="1"/>
                <w:bCs w:val="1"/>
                <w:color w:val="auto"/>
              </w:rPr>
              <w:t>2018</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70"/>
              <w:spacing w:after="0" w:line="129" w:lineRule="exact"/>
              <w:rPr>
                <w:sz w:val="20"/>
                <w:szCs w:val="20"/>
                <w:color w:val="auto"/>
              </w:rPr>
            </w:pPr>
            <w:r>
              <w:rPr>
                <w:rFonts w:ascii="Arial" w:cs="Arial" w:eastAsia="Arial" w:hAnsi="Arial"/>
                <w:sz w:val="13"/>
                <w:szCs w:val="13"/>
                <w:b w:val="1"/>
                <w:bCs w:val="1"/>
                <w:color w:val="auto"/>
                <w:w w:val="96"/>
              </w:rPr>
              <w:t>2020</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50"/>
              <w:spacing w:after="0" w:line="129"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28"/>
        </w:trPr>
        <w:tc>
          <w:tcPr>
            <w:tcW w:w="2080" w:type="dxa"/>
            <w:vAlign w:val="bottom"/>
          </w:tcPr>
          <w:p>
            <w:pPr>
              <w:spacing w:after="0"/>
              <w:rPr>
                <w:sz w:val="11"/>
                <w:szCs w:val="11"/>
                <w:color w:val="auto"/>
              </w:rPr>
            </w:pPr>
          </w:p>
        </w:tc>
        <w:tc>
          <w:tcPr>
            <w:tcW w:w="900" w:type="dxa"/>
            <w:vAlign w:val="bottom"/>
            <w:tcBorders>
              <w:bottom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RMB</w:t>
            </w:r>
          </w:p>
        </w:tc>
        <w:tc>
          <w:tcPr>
            <w:tcW w:w="440" w:type="dxa"/>
            <w:vAlign w:val="bottom"/>
            <w:tcBorders>
              <w:bottom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RMB</w:t>
            </w:r>
          </w:p>
        </w:tc>
        <w:tc>
          <w:tcPr>
            <w:tcW w:w="440" w:type="dxa"/>
            <w:vAlign w:val="bottom"/>
            <w:tcBorders>
              <w:bottom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RMB</w:t>
            </w:r>
          </w:p>
        </w:tc>
        <w:tc>
          <w:tcPr>
            <w:tcW w:w="780" w:type="dxa"/>
            <w:vAlign w:val="bottom"/>
            <w:tcBorders>
              <w:bottom w:val="single" w:sz="8" w:color="auto"/>
            </w:tcBorders>
            <w:gridSpan w:val="2"/>
          </w:tcPr>
          <w:p>
            <w:pPr>
              <w:ind w:left="200"/>
              <w:spacing w:after="0" w:line="129" w:lineRule="exact"/>
              <w:rPr>
                <w:sz w:val="20"/>
                <w:szCs w:val="20"/>
                <w:color w:val="auto"/>
              </w:rPr>
            </w:pPr>
            <w:r>
              <w:rPr>
                <w:rFonts w:ascii="Arial" w:cs="Arial" w:eastAsia="Arial" w:hAnsi="Arial"/>
                <w:sz w:val="13"/>
                <w:szCs w:val="13"/>
                <w:b w:val="1"/>
                <w:bCs w:val="1"/>
                <w:color w:val="auto"/>
              </w:rPr>
              <w:t>US$</w:t>
            </w:r>
          </w:p>
        </w:tc>
        <w:tc>
          <w:tcPr>
            <w:tcW w:w="440" w:type="dxa"/>
            <w:vAlign w:val="bottom"/>
            <w:tcBorders>
              <w:bottom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RMB</w:t>
            </w:r>
          </w:p>
        </w:tc>
        <w:tc>
          <w:tcPr>
            <w:tcW w:w="600" w:type="dxa"/>
            <w:vAlign w:val="bottom"/>
            <w:tcBorders>
              <w:bottom w:val="single" w:sz="8" w:color="auto"/>
            </w:tcBorders>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RMB</w:t>
            </w:r>
          </w:p>
        </w:tc>
        <w:tc>
          <w:tcPr>
            <w:tcW w:w="800" w:type="dxa"/>
            <w:vAlign w:val="bottom"/>
            <w:tcBorders>
              <w:bottom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US$</w:t>
            </w:r>
          </w:p>
        </w:tc>
        <w:tc>
          <w:tcPr>
            <w:tcW w:w="480" w:type="dxa"/>
            <w:vAlign w:val="bottom"/>
            <w:tcBorders>
              <w:bottom w:val="single" w:sz="8" w:color="auto"/>
            </w:tcBorders>
          </w:tcPr>
          <w:p>
            <w:pPr>
              <w:jc w:val="right"/>
              <w:ind w:right="109"/>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r>
      <w:tr>
        <w:trPr>
          <w:trHeight w:val="128"/>
        </w:trPr>
        <w:tc>
          <w:tcPr>
            <w:tcW w:w="2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20" w:type="dxa"/>
            <w:vAlign w:val="bottom"/>
            <w:gridSpan w:val="8"/>
          </w:tcPr>
          <w:p>
            <w:pPr>
              <w:jc w:val="right"/>
              <w:ind w:right="320"/>
              <w:spacing w:after="0" w:line="129" w:lineRule="exact"/>
              <w:rPr>
                <w:sz w:val="20"/>
                <w:szCs w:val="20"/>
                <w:color w:val="auto"/>
              </w:rPr>
            </w:pPr>
            <w:r>
              <w:rPr>
                <w:rFonts w:ascii="Arial" w:cs="Arial" w:eastAsia="Arial" w:hAnsi="Arial"/>
                <w:sz w:val="13"/>
                <w:szCs w:val="13"/>
                <w:b w:val="1"/>
                <w:bCs w:val="1"/>
                <w:color w:val="auto"/>
              </w:rPr>
              <w:t>(in thousands, except for percentages)</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costs and</w:t>
            </w: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5"/>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expenses:</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62"/>
        </w:trPr>
        <w:tc>
          <w:tcPr>
            <w:tcW w:w="2080" w:type="dxa"/>
            <w:vAlign w:val="bottom"/>
          </w:tcPr>
          <w:p>
            <w:pPr>
              <w:ind w:left="280"/>
              <w:spacing w:after="0"/>
              <w:rPr>
                <w:sz w:val="20"/>
                <w:szCs w:val="20"/>
                <w:color w:val="auto"/>
              </w:rPr>
            </w:pPr>
            <w:r>
              <w:rPr>
                <w:rFonts w:ascii="Arial" w:cs="Arial" w:eastAsia="Arial" w:hAnsi="Arial"/>
                <w:sz w:val="14"/>
                <w:szCs w:val="14"/>
                <w:color w:val="auto"/>
              </w:rPr>
              <w:t>Merchandise costs</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2,801,433</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85.9</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3,176,401</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80.8</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3,610,434</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551,060</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74.3</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500,800</w:t>
            </w:r>
          </w:p>
        </w:tc>
        <w:tc>
          <w:tcPr>
            <w:tcW w:w="740" w:type="dxa"/>
            <w:vAlign w:val="bottom"/>
            <w:gridSpan w:val="3"/>
          </w:tcPr>
          <w:p>
            <w:pPr>
              <w:jc w:val="right"/>
              <w:ind w:right="140"/>
              <w:spacing w:after="0"/>
              <w:rPr>
                <w:sz w:val="20"/>
                <w:szCs w:val="20"/>
                <w:color w:val="auto"/>
              </w:rPr>
            </w:pPr>
            <w:r>
              <w:rPr>
                <w:rFonts w:ascii="Arial" w:cs="Arial" w:eastAsia="Arial" w:hAnsi="Arial"/>
                <w:sz w:val="14"/>
                <w:szCs w:val="14"/>
                <w:color w:val="auto"/>
              </w:rPr>
              <w:t>72.3</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1,095,696</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167,236</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72.4</w:t>
            </w:r>
          </w:p>
        </w:tc>
      </w:tr>
      <w:tr>
        <w:trPr>
          <w:trHeight w:val="162"/>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Fulfillment expenses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353,969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658,149</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666,317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101,700</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157,954</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22.8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223,019</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34,039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w:t>
            </w:r>
          </w:p>
        </w:tc>
      </w:tr>
      <w:tr>
        <w:trPr>
          <w:trHeight w:val="167"/>
        </w:trPr>
        <w:tc>
          <w:tcPr>
            <w:tcW w:w="2080" w:type="dxa"/>
            <w:vAlign w:val="bottom"/>
          </w:tcPr>
          <w:p>
            <w:pPr>
              <w:ind w:left="280"/>
              <w:spacing w:after="0"/>
              <w:rPr>
                <w:sz w:val="20"/>
                <w:szCs w:val="20"/>
                <w:color w:val="auto"/>
              </w:rPr>
            </w:pPr>
            <w:r>
              <w:rPr>
                <w:rFonts w:ascii="Arial" w:cs="Arial" w:eastAsia="Arial" w:hAnsi="Arial"/>
                <w:sz w:val="14"/>
                <w:szCs w:val="14"/>
                <w:color w:val="auto"/>
              </w:rPr>
              <w:t>Selling and marketing</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7"/>
        </w:trPr>
        <w:tc>
          <w:tcPr>
            <w:tcW w:w="2080" w:type="dxa"/>
            <w:vAlign w:val="bottom"/>
          </w:tcPr>
          <w:p>
            <w:pPr>
              <w:ind w:left="420"/>
              <w:spacing w:after="0" w:line="157" w:lineRule="exact"/>
              <w:rPr>
                <w:sz w:val="20"/>
                <w:szCs w:val="20"/>
                <w:color w:val="auto"/>
              </w:rPr>
            </w:pPr>
            <w:r>
              <w:rPr>
                <w:rFonts w:ascii="Arial" w:cs="Arial" w:eastAsia="Arial" w:hAnsi="Arial"/>
                <w:sz w:val="14"/>
                <w:szCs w:val="14"/>
                <w:color w:val="auto"/>
              </w:rPr>
              <w:t>expenses</w:t>
            </w:r>
          </w:p>
        </w:tc>
        <w:tc>
          <w:tcPr>
            <w:tcW w:w="9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237,562</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7.3</w:t>
            </w: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566,792</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14.4</w:t>
            </w: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740,542</w:t>
            </w: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113,029</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15.2</w:t>
            </w: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144,150</w:t>
            </w:r>
          </w:p>
        </w:tc>
        <w:tc>
          <w:tcPr>
            <w:tcW w:w="7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20.8</w:t>
            </w: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222,580</w:t>
            </w:r>
          </w:p>
        </w:tc>
        <w:tc>
          <w:tcPr>
            <w:tcW w:w="8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33,972</w:t>
            </w:r>
          </w:p>
        </w:tc>
        <w:tc>
          <w:tcPr>
            <w:tcW w:w="5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14.7</w:t>
            </w:r>
          </w:p>
        </w:tc>
      </w:tr>
      <w:tr>
        <w:trPr>
          <w:trHeight w:val="167"/>
        </w:trPr>
        <w:tc>
          <w:tcPr>
            <w:tcW w:w="2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2"/>
        </w:trPr>
        <w:tc>
          <w:tcPr>
            <w:tcW w:w="20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administrative</w:t>
            </w: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57"/>
        </w:trPr>
        <w:tc>
          <w:tcPr>
            <w:tcW w:w="208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expenses</w:t>
            </w:r>
          </w:p>
        </w:tc>
        <w:tc>
          <w:tcPr>
            <w:tcW w:w="9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80,959</w:t>
            </w:r>
          </w:p>
        </w:tc>
        <w:tc>
          <w:tcPr>
            <w:tcW w:w="6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2.5</w:t>
            </w: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140,874</w:t>
            </w:r>
          </w:p>
        </w:tc>
        <w:tc>
          <w:tcPr>
            <w:tcW w:w="6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3.6</w:t>
            </w: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177,542</w:t>
            </w:r>
          </w:p>
        </w:tc>
        <w:tc>
          <w:tcPr>
            <w:tcW w:w="7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27,098</w:t>
            </w:r>
          </w:p>
        </w:tc>
        <w:tc>
          <w:tcPr>
            <w:tcW w:w="6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3.7</w:t>
            </w:r>
          </w:p>
        </w:tc>
        <w:tc>
          <w:tcPr>
            <w:tcW w:w="6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53,900</w:t>
            </w:r>
          </w:p>
        </w:tc>
        <w:tc>
          <w:tcPr>
            <w:tcW w:w="74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7.8</w:t>
            </w:r>
          </w:p>
        </w:tc>
        <w:tc>
          <w:tcPr>
            <w:tcW w:w="9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29,408</w:t>
            </w:r>
          </w:p>
        </w:tc>
        <w:tc>
          <w:tcPr>
            <w:tcW w:w="8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4,489</w:t>
            </w:r>
          </w:p>
        </w:tc>
        <w:tc>
          <w:tcPr>
            <w:tcW w:w="5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1.9</w:t>
            </w:r>
          </w:p>
        </w:tc>
      </w:tr>
      <w:tr>
        <w:trPr>
          <w:trHeight w:val="167"/>
        </w:trPr>
        <w:tc>
          <w:tcPr>
            <w:tcW w:w="2080" w:type="dxa"/>
            <w:vAlign w:val="bottom"/>
          </w:tcPr>
          <w:p>
            <w:pPr>
              <w:ind w:left="280"/>
              <w:spacing w:after="0"/>
              <w:rPr>
                <w:sz w:val="20"/>
                <w:szCs w:val="20"/>
                <w:color w:val="auto"/>
              </w:rPr>
            </w:pPr>
            <w:r>
              <w:rPr>
                <w:rFonts w:ascii="Arial" w:cs="Arial" w:eastAsia="Arial" w:hAnsi="Arial"/>
                <w:sz w:val="14"/>
                <w:szCs w:val="14"/>
                <w:color w:val="auto"/>
              </w:rPr>
              <w:t>Technology and content</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4"/>
        </w:trPr>
        <w:tc>
          <w:tcPr>
            <w:tcW w:w="2080" w:type="dxa"/>
            <w:vAlign w:val="bottom"/>
          </w:tcPr>
          <w:p>
            <w:pPr>
              <w:ind w:left="420"/>
              <w:spacing w:after="0" w:line="157" w:lineRule="exact"/>
              <w:rPr>
                <w:sz w:val="20"/>
                <w:szCs w:val="20"/>
                <w:color w:val="auto"/>
              </w:rPr>
            </w:pPr>
            <w:r>
              <w:rPr>
                <w:rFonts w:ascii="Arial" w:cs="Arial" w:eastAsia="Arial" w:hAnsi="Arial"/>
                <w:sz w:val="14"/>
                <w:szCs w:val="14"/>
                <w:color w:val="auto"/>
              </w:rPr>
              <w:t>expenses</w:t>
            </w:r>
          </w:p>
        </w:tc>
        <w:tc>
          <w:tcPr>
            <w:tcW w:w="9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65,759</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2.0</w:t>
            </w: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142,858</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3.7</w:t>
            </w: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151,536</w:t>
            </w:r>
          </w:p>
        </w:tc>
        <w:tc>
          <w:tcPr>
            <w:tcW w:w="7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23,129</w:t>
            </w:r>
          </w:p>
        </w:tc>
        <w:tc>
          <w:tcPr>
            <w:tcW w:w="6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3.1</w:t>
            </w: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40,165</w:t>
            </w:r>
          </w:p>
        </w:tc>
        <w:tc>
          <w:tcPr>
            <w:tcW w:w="74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5.8</w:t>
            </w:r>
          </w:p>
        </w:tc>
        <w:tc>
          <w:tcPr>
            <w:tcW w:w="9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55,499</w:t>
            </w:r>
          </w:p>
        </w:tc>
        <w:tc>
          <w:tcPr>
            <w:tcW w:w="8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8,471</w:t>
            </w:r>
          </w:p>
        </w:tc>
        <w:tc>
          <w:tcPr>
            <w:tcW w:w="5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3.7</w:t>
            </w: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costs and</w:t>
            </w:r>
          </w:p>
        </w:tc>
        <w:tc>
          <w:tcPr>
            <w:tcW w:w="7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5"/>
        </w:trPr>
        <w:tc>
          <w:tcPr>
            <w:tcW w:w="20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expenses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3,539,682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108.5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4,685,074</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119.2</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5,346,371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816,016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110.0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896,969</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129.6</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1,626,202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248,207</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107.4</w:t>
            </w:r>
          </w:p>
        </w:tc>
      </w:tr>
      <w:tr>
        <w:trPr>
          <w:trHeight w:val="20"/>
        </w:trPr>
        <w:tc>
          <w:tcPr>
            <w:tcW w:w="2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551"/>
        <w:spacing w:after="0" w:line="242" w:lineRule="auto"/>
        <w:rPr>
          <w:sz w:val="20"/>
          <w:szCs w:val="20"/>
          <w:color w:val="auto"/>
        </w:rPr>
      </w:pPr>
      <w:r>
        <w:rPr>
          <w:rFonts w:ascii="Arial" w:cs="Arial" w:eastAsia="Arial" w:hAnsi="Arial"/>
          <w:sz w:val="18"/>
          <w:szCs w:val="18"/>
          <w:i w:val="1"/>
          <w:iCs w:val="1"/>
          <w:color w:val="auto"/>
        </w:rPr>
        <w:t xml:space="preserve">Merchandise costs. </w:t>
      </w:r>
      <w:r>
        <w:rPr>
          <w:rFonts w:ascii="Arial" w:cs="Arial" w:eastAsia="Arial" w:hAnsi="Arial"/>
          <w:sz w:val="18"/>
          <w:szCs w:val="18"/>
          <w:color w:val="auto"/>
        </w:rPr>
        <w:t>Merchandise costs primarily consist of cost of acquired products mainly through AHS Recycle and inbound</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charges for our product sales. We expect our merchandise costs to continue to grow in line with growth in revenue from product sales. Merchandise costs from non-core operations were RMB659.9 million, RMB509.6 million and RMB130.5 million in 2018, 2019 and 2020, respectively, and were RMB49.0 million and RMB9.4 million for the three months ended March 31, 2020 and March 31, 2021 respectively.</w:t>
      </w:r>
    </w:p>
    <w:p>
      <w:pPr>
        <w:spacing w:after="0" w:line="185" w:lineRule="exact"/>
        <w:rPr>
          <w:sz w:val="20"/>
          <w:szCs w:val="20"/>
          <w:color w:val="auto"/>
        </w:rPr>
      </w:pPr>
    </w:p>
    <w:p>
      <w:pPr>
        <w:ind w:left="120" w:right="120" w:firstLine="551"/>
        <w:spacing w:after="0" w:line="250" w:lineRule="auto"/>
        <w:rPr>
          <w:sz w:val="20"/>
          <w:szCs w:val="20"/>
          <w:color w:val="auto"/>
        </w:rPr>
      </w:pPr>
      <w:r>
        <w:rPr>
          <w:rFonts w:ascii="Arial" w:cs="Arial" w:eastAsia="Arial" w:hAnsi="Arial"/>
          <w:sz w:val="18"/>
          <w:szCs w:val="18"/>
          <w:i w:val="1"/>
          <w:iCs w:val="1"/>
          <w:color w:val="auto"/>
        </w:rPr>
        <w:t xml:space="preserve">Fulfillment expenses. </w:t>
      </w:r>
      <w:r>
        <w:rPr>
          <w:rFonts w:ascii="Arial" w:cs="Arial" w:eastAsia="Arial" w:hAnsi="Arial"/>
          <w:sz w:val="18"/>
          <w:szCs w:val="18"/>
          <w:color w:val="auto"/>
        </w:rPr>
        <w:t>Fulfillment expenses consist primarily of expenses incurred in operating our platform, centralized operation</w:t>
      </w:r>
      <w:r>
        <w:rPr>
          <w:rFonts w:ascii="Arial" w:cs="Arial" w:eastAsia="Arial" w:hAnsi="Arial"/>
          <w:sz w:val="18"/>
          <w:szCs w:val="18"/>
          <w:i w:val="1"/>
          <w:iCs w:val="1"/>
          <w:color w:val="auto"/>
        </w:rPr>
        <w:t xml:space="preserve"> </w:t>
      </w:r>
      <w:r>
        <w:rPr>
          <w:rFonts w:ascii="Arial" w:cs="Arial" w:eastAsia="Arial" w:hAnsi="Arial"/>
          <w:sz w:val="18"/>
          <w:szCs w:val="18"/>
          <w:color w:val="auto"/>
        </w:rPr>
        <w:t>centers, operation stations, offline AHS stores and warehousing operations, such as personnel expenses attributable to purchasing, receiving, inspecting and grading, packaging and preparing customer orders for shipment, as well as outbound shipping charges.</w:t>
      </w:r>
    </w:p>
    <w:p>
      <w:pPr>
        <w:spacing w:after="0" w:line="177" w:lineRule="exact"/>
        <w:rPr>
          <w:sz w:val="20"/>
          <w:szCs w:val="20"/>
          <w:color w:val="auto"/>
        </w:rPr>
      </w:pPr>
    </w:p>
    <w:p>
      <w:pPr>
        <w:ind w:left="120" w:right="80" w:firstLine="551"/>
        <w:spacing w:after="0" w:line="250"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amortization of intangible assets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acquisition of Paipai Marketplace, platform promotion expenses, channel commissions, advertising expenses, and payroll and related expenses for personnel involved in marketing and business development activities.</w:t>
      </w:r>
    </w:p>
    <w:p>
      <w:pPr>
        <w:spacing w:after="0" w:line="19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amortization of intangible assets primarily represents amortization of the business cooperation agreement, non-compete commitment, and brand names arising from the acquisition of Paipai Marketplace. We recorded such amortization expenses of RMB23.7 million, RMB193.2 million, RMB308.8 million and RMB76.3 million for 2018, 2019, 2020 and the three months ended March 31, 2021, respectively.</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offer incentives such as promotion coupons to consumers on Paipai Marketplace, and such incentive expenses are recorded as selling and marketing expenses because they serve to promote our Paipai Marketplace. Such incentive expenses amounted to RMB19.3 million, RMB61.4 million and RMB12.5 million for 2019, 2020 and the three months ended March 31, 2021, respectively. As the amounts of consumer incentives largely depend on our business decisions and market conditions, our past practices may not be indicative of future trend. Channel commissions consist of commission paid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to sales channel providers and collection channel providers. It amounted to RMB14.4 million, RMB78.4 million, RMB143.4 million and RMB42.6 million for 2018, 2019, 2020 and the three months ended March 31, 2021, respectively.</w:t>
      </w:r>
    </w:p>
    <w:p>
      <w:pPr>
        <w:spacing w:after="0" w:line="179" w:lineRule="exact"/>
        <w:rPr>
          <w:sz w:val="20"/>
          <w:szCs w:val="20"/>
          <w:color w:val="auto"/>
        </w:rPr>
      </w:pPr>
    </w:p>
    <w:p>
      <w:pPr>
        <w:ind w:left="120" w:right="100" w:firstLine="551"/>
        <w:spacing w:after="0" w:line="260"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consist primarily of personnel related expenses for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corporate functions, including accounting, finance, tax, legal and human relations; costs associated with these functions including facilities and equipment depreciation expenses, rental and other general corporate related expenses. We expect that our general and administrative expenses will increase in absolute amounts in the foreseeable future, as we hire additional personnel and incur additional expenses related to the anticipated growth of our business and our operation as a public company after the completion of this offering.</w:t>
      </w:r>
    </w:p>
    <w:p>
      <w:pPr>
        <w:spacing w:after="0" w:line="170" w:lineRule="exact"/>
        <w:rPr>
          <w:sz w:val="20"/>
          <w:szCs w:val="20"/>
          <w:color w:val="auto"/>
        </w:rPr>
      </w:pPr>
    </w:p>
    <w:p>
      <w:pPr>
        <w:ind w:left="120" w:right="240" w:firstLine="551"/>
        <w:spacing w:after="0" w:line="260" w:lineRule="auto"/>
        <w:rPr>
          <w:sz w:val="20"/>
          <w:szCs w:val="20"/>
          <w:color w:val="auto"/>
        </w:rPr>
      </w:pPr>
      <w:r>
        <w:rPr>
          <w:rFonts w:ascii="Arial" w:cs="Arial" w:eastAsia="Arial" w:hAnsi="Arial"/>
          <w:sz w:val="17"/>
          <w:szCs w:val="17"/>
          <w:i w:val="1"/>
          <w:iCs w:val="1"/>
          <w:color w:val="auto"/>
        </w:rPr>
        <w:t xml:space="preserve">Technology and content expenses. </w:t>
      </w:r>
      <w:r>
        <w:rPr>
          <w:rFonts w:ascii="Arial" w:cs="Arial" w:eastAsia="Arial" w:hAnsi="Arial"/>
          <w:sz w:val="17"/>
          <w:szCs w:val="17"/>
          <w:color w:val="auto"/>
        </w:rPr>
        <w:t>Technology and content expenses consist primarily of payroll and related expenses for</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content employees involved in designing, developing and maintaining technology platform, and improving artificial intelligence, big data and cloud technologies and services, and technology infrastructure costs. Technology infrastructure costs include equipment depreciation, data center costs and amortization of platform arising from acquisition of Paipai Marketplace. We expect our technology and content expenses to continue to increase as we plan to invest more resources to improve our technological capabilities.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Under the current laws of the Cayman Islands, we are not subject to tax on income or capital gain. Additionally, the Cayman Islands does not impose a withholding tax on payments of dividends to shareholders.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Under the current Hong Kong Inland Revenue Ordinance, our subsidiaries incorporated in Hong Kong are subject to 16.5% Hong Kong profit tax on their taxable income generated from operations in Hong Kong for the year of assessment 2017/2018. Commencing from the year of assessment 2018/2019, the first two million of profits in Hong Kong dollars earned by our subsidiaries incorporated in Hong Kong will be taxed at half the current tax rate (i.e., 8.25%) while the remaining profits will continue to be taxed at the existing 16.5% tax rate. Under the Hong Kong tax laws, we are exempted from the Hong Kong income tax on our foreign-derived income. Additionally, payments of dividends by the subsidiaries incorporated in Hong Kong to our company are not subject to any Hong Kong withholding tax.</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PRC</w:t>
      </w:r>
    </w:p>
    <w:p>
      <w:pPr>
        <w:spacing w:after="0" w:line="126"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Under the PRC Enterprise Income Tax Law, or the EIT Law, the standard enterprise income tax rate for domestic enterprises and foreign invested enterprises is 25%. All of our PRC subsidiaries, consolidated VIEs and VIEs’ subsidiaries are subject to the statutory income tax rate of 25% except for Shanghai Wanwuxinsheng which obtained qualification as High and New Technologies Enterprises, or HNTE, in 2018 and was entitled to a preferential EIT rate of 15% from 2018 to 2020.</w:t>
      </w:r>
    </w:p>
    <w:p>
      <w:pPr>
        <w:spacing w:after="0" w:line="205"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personnel, accounts and properties of an enterprise. Based on a review of surrounding facts and circumstances, we do not believe that it is likely that our operations outside of the PRC should be considered a resident enterprise for PRC tax purposes. If our holding company in the Cayman Islands or any of our subsidiaries outside of Mainland China were deemed to be a “resident enterprise” under the new EIT Law, we would be subject to enterprise income tax on our worldwide income at a rate of 25%. See “Risk Factors—Risks Related to Doing Business in China—If we are classified as a PRC resident enterprise for PRC income tax purposes, such classification could result in unfavorable tax consequences to us and our non-PRC shareholders or ADS holders.”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accordance with the EIT Law, dividends, which arise from profits of foreign invested enterprises (“FIEs”) earned after January 1, 2008, are subject to a 10% withholding income tax. In addition, under tax treaty between the PRC and Hong Kong, if the foreign investor is incorporated in Hong Kong and qualifies as the beneficial owner, the applicable withholding tax rate is reduced to 5%, if the investor holds at least 25% in the FIE, or 10%, if the investor holds less than 25% in the FIE. We did not record any dividend withholding tax, as it has no retained earnings for the years ended December 31, 2018, 2019 and 2020 and for the three months ended March 31, 2021. See “Risk Factors—Risks Related to Our Corporate Structure—Contractual arrangements in relation to our VIEs may be subject to scrutiny by the PRC tax authorities and they may determine that we or our VIEs owe additional taxes, which could negatively affect our financial condition and the value of your investment.”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presented, both in absolute amount and as a percentage of our net revenues for the periods presented. This information should be read together with our consolidated financial statements and related notes included elsewhere in this prospectus. The results of operations in any period are not necessarily indicative of our future trends.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15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3"/>
                <w:szCs w:val="13"/>
                <w:b w:val="1"/>
                <w:bCs w:val="1"/>
                <w:color w:val="auto"/>
              </w:rPr>
              <w:t>For the Year Ended December 31,</w:t>
            </w: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3"/>
                <w:szCs w:val="13"/>
                <w:b w:val="1"/>
                <w:bCs w:val="1"/>
                <w:color w:val="auto"/>
                <w:w w:val="97"/>
              </w:rPr>
              <w:t>For the Three Months Ended March 31,</w:t>
            </w:r>
          </w:p>
        </w:tc>
        <w:tc>
          <w:tcPr>
            <w:tcW w:w="5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92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237"/>
              <w:spacing w:after="0" w:line="129" w:lineRule="exact"/>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920" w:type="dxa"/>
            <w:vAlign w:val="bottom"/>
            <w:tcBorders>
              <w:bottom w:val="single" w:sz="8" w:color="auto"/>
            </w:tcBorders>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RMB</w:t>
            </w:r>
          </w:p>
        </w:tc>
        <w:tc>
          <w:tcPr>
            <w:tcW w:w="4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RMB</w:t>
            </w:r>
          </w:p>
        </w:tc>
        <w:tc>
          <w:tcPr>
            <w:tcW w:w="4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RMB</w:t>
            </w:r>
          </w:p>
        </w:tc>
        <w:tc>
          <w:tcPr>
            <w:tcW w:w="820" w:type="dxa"/>
            <w:vAlign w:val="bottom"/>
            <w:tcBorders>
              <w:bottom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US$</w:t>
            </w:r>
          </w:p>
        </w:tc>
        <w:tc>
          <w:tcPr>
            <w:tcW w:w="46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RMB</w:t>
            </w:r>
          </w:p>
        </w:tc>
        <w:tc>
          <w:tcPr>
            <w:tcW w:w="600" w:type="dxa"/>
            <w:vAlign w:val="bottom"/>
            <w:tcBorders>
              <w:bottom w:val="single" w:sz="8" w:color="auto"/>
            </w:tcBorders>
            <w:gridSpan w:val="2"/>
          </w:tcPr>
          <w:p>
            <w:pPr>
              <w:jc w:val="right"/>
              <w:ind w:right="117"/>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20"/>
              <w:spacing w:after="0" w:line="129" w:lineRule="exact"/>
              <w:rPr>
                <w:sz w:val="20"/>
                <w:szCs w:val="20"/>
                <w:color w:val="auto"/>
              </w:rPr>
            </w:pPr>
            <w:r>
              <w:rPr>
                <w:rFonts w:ascii="Arial" w:cs="Arial" w:eastAsia="Arial" w:hAnsi="Arial"/>
                <w:sz w:val="13"/>
                <w:szCs w:val="13"/>
                <w:b w:val="1"/>
                <w:bCs w:val="1"/>
                <w:color w:val="auto"/>
              </w:rPr>
              <w:t>RMB</w:t>
            </w:r>
          </w:p>
        </w:tc>
        <w:tc>
          <w:tcPr>
            <w:tcW w:w="840" w:type="dxa"/>
            <w:vAlign w:val="bottom"/>
            <w:tcBorders>
              <w:bottom w:val="single" w:sz="8" w:color="auto"/>
            </w:tcBorders>
            <w:gridSpan w:val="2"/>
          </w:tcPr>
          <w:p>
            <w:pPr>
              <w:jc w:val="right"/>
              <w:ind w:right="400"/>
              <w:spacing w:after="0" w:line="129" w:lineRule="exact"/>
              <w:rPr>
                <w:sz w:val="20"/>
                <w:szCs w:val="20"/>
                <w:color w:val="auto"/>
              </w:rPr>
            </w:pPr>
            <w:r>
              <w:rPr>
                <w:rFonts w:ascii="Arial" w:cs="Arial" w:eastAsia="Arial" w:hAnsi="Arial"/>
                <w:sz w:val="13"/>
                <w:szCs w:val="13"/>
                <w:b w:val="1"/>
                <w:bCs w:val="1"/>
                <w:color w:val="auto"/>
              </w:rPr>
              <w:t>US$</w:t>
            </w:r>
          </w:p>
        </w:tc>
        <w:tc>
          <w:tcPr>
            <w:tcW w:w="50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120" w:type="dxa"/>
            <w:vAlign w:val="bottom"/>
            <w:gridSpan w:val="8"/>
          </w:tcPr>
          <w:p>
            <w:pPr>
              <w:jc w:val="right"/>
              <w:ind w:right="420"/>
              <w:spacing w:after="0" w:line="129" w:lineRule="exact"/>
              <w:rPr>
                <w:sz w:val="20"/>
                <w:szCs w:val="20"/>
                <w:color w:val="auto"/>
              </w:rPr>
            </w:pPr>
            <w:r>
              <w:rPr>
                <w:rFonts w:ascii="Arial" w:cs="Arial" w:eastAsia="Arial" w:hAnsi="Arial"/>
                <w:sz w:val="13"/>
                <w:szCs w:val="13"/>
                <w:b w:val="1"/>
                <w:bCs w:val="1"/>
                <w:color w:val="auto"/>
              </w:rPr>
              <w:t>(in thousands, except for percentages)</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revenues</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Net product</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revenues</w:t>
            </w:r>
          </w:p>
        </w:tc>
        <w:tc>
          <w:tcPr>
            <w:tcW w:w="9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3,249,923</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99.6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3,730,206</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94.9</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4,244,023</w:t>
            </w: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647,764</w:t>
            </w:r>
          </w:p>
        </w:tc>
        <w:tc>
          <w:tcPr>
            <w:tcW w:w="200" w:type="dxa"/>
            <w:vAlign w:val="bottom"/>
          </w:tcPr>
          <w:p>
            <w:pPr>
              <w:spacing w:after="0"/>
              <w:rPr>
                <w:sz w:val="12"/>
                <w:szCs w:val="12"/>
                <w:color w:val="auto"/>
              </w:rPr>
            </w:pPr>
          </w:p>
        </w:tc>
        <w:tc>
          <w:tcPr>
            <w:tcW w:w="6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87.4</w:t>
            </w: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606,103</w:t>
            </w:r>
          </w:p>
        </w:tc>
        <w:tc>
          <w:tcPr>
            <w:tcW w:w="60" w:type="dxa"/>
            <w:vAlign w:val="bottom"/>
          </w:tcPr>
          <w:p>
            <w:pPr>
              <w:spacing w:after="0"/>
              <w:rPr>
                <w:sz w:val="12"/>
                <w:szCs w:val="12"/>
                <w:color w:val="auto"/>
              </w:rPr>
            </w:pPr>
          </w:p>
        </w:tc>
        <w:tc>
          <w:tcPr>
            <w:tcW w:w="80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87.6</w:t>
            </w: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1,310,547</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200,029</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86.5</w:t>
            </w: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Net service</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revenues</w:t>
            </w:r>
          </w:p>
        </w:tc>
        <w:tc>
          <w:tcPr>
            <w:tcW w:w="9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11,597</w:t>
            </w: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0.4</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201,652</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5.1</w:t>
            </w:r>
          </w:p>
        </w:tc>
        <w:tc>
          <w:tcPr>
            <w:tcW w:w="9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614,176</w:t>
            </w:r>
          </w:p>
        </w:tc>
        <w:tc>
          <w:tcPr>
            <w:tcW w:w="8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93,742</w:t>
            </w:r>
          </w:p>
        </w:tc>
        <w:tc>
          <w:tcPr>
            <w:tcW w:w="6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12.6</w:t>
            </w:r>
          </w:p>
        </w:tc>
        <w:tc>
          <w:tcPr>
            <w:tcW w:w="6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86,109</w:t>
            </w:r>
          </w:p>
        </w:tc>
        <w:tc>
          <w:tcPr>
            <w:tcW w:w="80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12.4</w:t>
            </w:r>
          </w:p>
        </w:tc>
        <w:tc>
          <w:tcPr>
            <w:tcW w:w="9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203,884</w:t>
            </w:r>
          </w:p>
        </w:tc>
        <w:tc>
          <w:tcPr>
            <w:tcW w:w="8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31,119</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42"/>
        </w:trPr>
        <w:tc>
          <w:tcPr>
            <w:tcW w:w="1540" w:type="dxa"/>
            <w:vAlign w:val="bottom"/>
          </w:tcPr>
          <w:p>
            <w:pPr>
              <w:spacing w:after="0" w:line="142" w:lineRule="exact"/>
              <w:rPr>
                <w:sz w:val="20"/>
                <w:szCs w:val="20"/>
                <w:color w:val="auto"/>
              </w:rPr>
            </w:pPr>
            <w:r>
              <w:rPr>
                <w:rFonts w:ascii="Arial" w:cs="Arial" w:eastAsia="Arial" w:hAnsi="Arial"/>
                <w:sz w:val="13"/>
                <w:szCs w:val="13"/>
                <w:b w:val="1"/>
                <w:bCs w:val="1"/>
                <w:color w:val="auto"/>
              </w:rPr>
              <w:t>Total net revenues</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3,261,520</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3,931,858</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4,858,199</w:t>
            </w:r>
          </w:p>
        </w:tc>
        <w:tc>
          <w:tcPr>
            <w:tcW w:w="20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741,506</w:t>
            </w:r>
          </w:p>
        </w:tc>
        <w:tc>
          <w:tcPr>
            <w:tcW w:w="20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2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692,212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1,514,431</w:t>
            </w:r>
          </w:p>
        </w:tc>
        <w:tc>
          <w:tcPr>
            <w:tcW w:w="2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231,148</w:t>
            </w: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Merchandise costs</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(2,801,433)</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(85.9)</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(3,176,401)</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(80.8)</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(3,610,434)</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(551,060)</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(74.3)</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(500,800)</w:t>
            </w:r>
          </w:p>
        </w:tc>
        <w:tc>
          <w:tcPr>
            <w:tcW w:w="8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(72.3)</w:t>
            </w: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(1,095,696)</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(167,236)</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Fulfillment expenses</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(353,969)</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(10.8)</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(658,149)</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(16.7)</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(666,317)</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(101,700)</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(13.7)</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(157,954)</w:t>
            </w:r>
          </w:p>
        </w:tc>
        <w:tc>
          <w:tcPr>
            <w:tcW w:w="8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(22.8)</w:t>
            </w: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(223,019)</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(34,039)</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Selling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380"/>
              <w:spacing w:after="0" w:line="135" w:lineRule="exact"/>
              <w:rPr>
                <w:sz w:val="20"/>
                <w:szCs w:val="20"/>
                <w:color w:val="auto"/>
              </w:rPr>
            </w:pPr>
            <w:r>
              <w:rPr>
                <w:rFonts w:ascii="Arial" w:cs="Arial" w:eastAsia="Arial" w:hAnsi="Arial"/>
                <w:sz w:val="13"/>
                <w:szCs w:val="13"/>
                <w:color w:val="auto"/>
              </w:rPr>
              <w:t>marketing</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expenses</w:t>
            </w: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(237,562)</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(7.3)</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(566,792)</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(14.4)</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(740,542)</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(113,029)</w:t>
            </w: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(15.2)</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(144,150)</w:t>
            </w:r>
          </w:p>
        </w:tc>
        <w:tc>
          <w:tcPr>
            <w:tcW w:w="80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(20.8)</w:t>
            </w:r>
          </w:p>
        </w:tc>
        <w:tc>
          <w:tcPr>
            <w:tcW w:w="9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(222,580)</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(33,972)</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General and</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380"/>
              <w:spacing w:after="0" w:line="135" w:lineRule="exact"/>
              <w:rPr>
                <w:sz w:val="20"/>
                <w:szCs w:val="20"/>
                <w:color w:val="auto"/>
              </w:rPr>
            </w:pPr>
            <w:r>
              <w:rPr>
                <w:rFonts w:ascii="Arial" w:cs="Arial" w:eastAsia="Arial" w:hAnsi="Arial"/>
                <w:sz w:val="13"/>
                <w:szCs w:val="13"/>
                <w:color w:val="auto"/>
              </w:rPr>
              <w:t>administrative</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expenses</w:t>
            </w:r>
          </w:p>
        </w:tc>
        <w:tc>
          <w:tcPr>
            <w:tcW w:w="9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(80,959)</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(2.5)</w:t>
            </w: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(140,874)</w:t>
            </w:r>
          </w:p>
        </w:tc>
        <w:tc>
          <w:tcPr>
            <w:tcW w:w="64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(3.6)</w:t>
            </w: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(177,542)</w:t>
            </w:r>
          </w:p>
        </w:tc>
        <w:tc>
          <w:tcPr>
            <w:tcW w:w="8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(27,098)</w:t>
            </w: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(3.7)</w:t>
            </w:r>
          </w:p>
        </w:tc>
        <w:tc>
          <w:tcPr>
            <w:tcW w:w="68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(53,900)</w:t>
            </w:r>
          </w:p>
        </w:tc>
        <w:tc>
          <w:tcPr>
            <w:tcW w:w="800" w:type="dxa"/>
            <w:vAlign w:val="bottom"/>
            <w:gridSpan w:val="3"/>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(7.8)</w:t>
            </w:r>
          </w:p>
        </w:tc>
        <w:tc>
          <w:tcPr>
            <w:tcW w:w="9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(29,408)</w:t>
            </w:r>
          </w:p>
        </w:tc>
        <w:tc>
          <w:tcPr>
            <w:tcW w:w="8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(4,489)</w:t>
            </w: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Technology and</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content expenses</w:t>
            </w:r>
          </w:p>
        </w:tc>
        <w:tc>
          <w:tcPr>
            <w:tcW w:w="9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(65,759)</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(2.0)</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(142,858)</w:t>
            </w:r>
          </w:p>
        </w:tc>
        <w:tc>
          <w:tcPr>
            <w:tcW w:w="64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(3.7)</w:t>
            </w:r>
          </w:p>
        </w:tc>
        <w:tc>
          <w:tcPr>
            <w:tcW w:w="9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(151,536)</w:t>
            </w:r>
          </w:p>
        </w:tc>
        <w:tc>
          <w:tcPr>
            <w:tcW w:w="82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(23,129)</w:t>
            </w: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(3.1)</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(40,165)</w:t>
            </w:r>
          </w:p>
        </w:tc>
        <w:tc>
          <w:tcPr>
            <w:tcW w:w="800" w:type="dxa"/>
            <w:vAlign w:val="bottom"/>
            <w:gridSpan w:val="3"/>
          </w:tcPr>
          <w:p>
            <w:pPr>
              <w:jc w:val="right"/>
              <w:ind w:right="160"/>
              <w:spacing w:after="0" w:line="141" w:lineRule="exact"/>
              <w:rPr>
                <w:sz w:val="20"/>
                <w:szCs w:val="20"/>
                <w:color w:val="auto"/>
              </w:rPr>
            </w:pPr>
            <w:r>
              <w:rPr>
                <w:rFonts w:ascii="Arial" w:cs="Arial" w:eastAsia="Arial" w:hAnsi="Arial"/>
                <w:sz w:val="13"/>
                <w:szCs w:val="13"/>
                <w:color w:val="auto"/>
              </w:rPr>
              <w:t>(5.8)</w:t>
            </w:r>
          </w:p>
        </w:tc>
        <w:tc>
          <w:tcPr>
            <w:tcW w:w="9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(55,499)</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(8,471)</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13"/>
        </w:trPr>
        <w:tc>
          <w:tcPr>
            <w:tcW w:w="1540" w:type="dxa"/>
            <w:vAlign w:val="bottom"/>
            <w:shd w:val="clear" w:color="auto" w:fill="CCEEFF"/>
          </w:tcPr>
          <w:p>
            <w:pPr>
              <w:spacing w:after="0" w:line="113" w:lineRule="exact"/>
              <w:rPr>
                <w:sz w:val="20"/>
                <w:szCs w:val="20"/>
                <w:color w:val="auto"/>
              </w:rPr>
            </w:pPr>
            <w:r>
              <w:rPr>
                <w:rFonts w:ascii="Arial" w:cs="Arial" w:eastAsia="Arial" w:hAnsi="Arial"/>
                <w:sz w:val="13"/>
                <w:szCs w:val="13"/>
                <w:b w:val="1"/>
                <w:bCs w:val="1"/>
                <w:color w:val="auto"/>
              </w:rPr>
              <w:t>Total operating</w:t>
            </w:r>
          </w:p>
        </w:tc>
        <w:tc>
          <w:tcPr>
            <w:tcW w:w="7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5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expense</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(3,539,682)</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(108.5)</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(4,685,074)</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b w:val="1"/>
                <w:bCs w:val="1"/>
                <w:color w:val="auto"/>
              </w:rPr>
              <w:t>(119.2)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(5,346,371)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(816,016)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(110.0)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(896,969)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(129.6)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(1,626,202)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(248,207)</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(107.4)</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Other operating</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income</w:t>
            </w:r>
          </w:p>
        </w:tc>
        <w:tc>
          <w:tcPr>
            <w:tcW w:w="9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21,701</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21,410</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0.6</w:t>
            </w:r>
          </w:p>
        </w:tc>
        <w:tc>
          <w:tcPr>
            <w:tcW w:w="9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29,395</w:t>
            </w:r>
          </w:p>
        </w:tc>
        <w:tc>
          <w:tcPr>
            <w:tcW w:w="8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4,487</w:t>
            </w:r>
          </w:p>
        </w:tc>
        <w:tc>
          <w:tcPr>
            <w:tcW w:w="68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0.6</w:t>
            </w: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5,811</w:t>
            </w:r>
          </w:p>
        </w:tc>
        <w:tc>
          <w:tcPr>
            <w:tcW w:w="80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0.8</w:t>
            </w:r>
          </w:p>
        </w:tc>
        <w:tc>
          <w:tcPr>
            <w:tcW w:w="9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361</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55</w:t>
            </w:r>
          </w:p>
        </w:tc>
        <w:tc>
          <w:tcPr>
            <w:tcW w:w="6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Loss from operations</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(256,461)</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(7.9)</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(731,806)</w:t>
            </w: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(18.6)</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(458,777)</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(70,023)</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(9.4)</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b w:val="1"/>
                <w:bCs w:val="1"/>
                <w:color w:val="auto"/>
              </w:rPr>
              <w:t>(198,946)</w:t>
            </w:r>
          </w:p>
        </w:tc>
        <w:tc>
          <w:tcPr>
            <w:tcW w:w="8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(28.7)</w:t>
            </w: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(111,410)</w:t>
            </w: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(17,004)</w:t>
            </w:r>
          </w:p>
        </w:tc>
        <w:tc>
          <w:tcPr>
            <w:tcW w:w="6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b w:val="1"/>
                <w:bCs w:val="1"/>
                <w:color w:val="auto"/>
              </w:rPr>
              <w:t>(7.4)</w:t>
            </w:r>
          </w:p>
        </w:tc>
        <w:tc>
          <w:tcPr>
            <w:tcW w:w="0" w:type="dxa"/>
            <w:vAlign w:val="bottom"/>
          </w:tcPr>
          <w:p>
            <w:pPr>
              <w:spacing w:after="0"/>
              <w:rPr>
                <w:sz w:val="1"/>
                <w:szCs w:val="1"/>
                <w:color w:val="auto"/>
              </w:rPr>
            </w:pPr>
          </w:p>
        </w:tc>
      </w:tr>
      <w:tr>
        <w:trPr>
          <w:trHeight w:val="135"/>
        </w:trPr>
        <w:tc>
          <w:tcPr>
            <w:tcW w:w="1540" w:type="dxa"/>
            <w:vAlign w:val="bottom"/>
          </w:tcPr>
          <w:p>
            <w:pPr>
              <w:ind w:left="240"/>
              <w:spacing w:after="0" w:line="135" w:lineRule="exact"/>
              <w:rPr>
                <w:sz w:val="20"/>
                <w:szCs w:val="20"/>
                <w:color w:val="auto"/>
              </w:rPr>
            </w:pPr>
            <w:r>
              <w:rPr>
                <w:rFonts w:ascii="Arial" w:cs="Arial" w:eastAsia="Arial" w:hAnsi="Arial"/>
                <w:sz w:val="13"/>
                <w:szCs w:val="13"/>
                <w:color w:val="auto"/>
              </w:rPr>
              <w:t>Interest expense</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(6,536)</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(0.2)</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(12,397)</w:t>
            </w: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(0.3)</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(21,090)</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(3,219)</w:t>
            </w: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(0.5)</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(3,535)</w:t>
            </w:r>
          </w:p>
        </w:tc>
        <w:tc>
          <w:tcPr>
            <w:tcW w:w="8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(0.5)</w:t>
            </w: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(6,552)</w:t>
            </w:r>
          </w:p>
        </w:tc>
        <w:tc>
          <w:tcPr>
            <w:tcW w:w="8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(1,000)</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Interest income</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8,273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0.3</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7,813</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0.2</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9,321</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1,423</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0.2</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1,910</w:t>
            </w:r>
          </w:p>
        </w:tc>
        <w:tc>
          <w:tcPr>
            <w:tcW w:w="8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0.3</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3,420</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522</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29"/>
        </w:trPr>
        <w:tc>
          <w:tcPr>
            <w:tcW w:w="1540" w:type="dxa"/>
            <w:vAlign w:val="bottom"/>
          </w:tcPr>
          <w:p>
            <w:pPr>
              <w:ind w:left="240"/>
              <w:spacing w:after="0" w:line="129" w:lineRule="exact"/>
              <w:rPr>
                <w:sz w:val="20"/>
                <w:szCs w:val="20"/>
                <w:color w:val="auto"/>
              </w:rPr>
            </w:pPr>
            <w:r>
              <w:rPr>
                <w:rFonts w:ascii="Arial" w:cs="Arial" w:eastAsia="Arial" w:hAnsi="Arial"/>
                <w:sz w:val="13"/>
                <w:szCs w:val="13"/>
                <w:color w:val="auto"/>
              </w:rPr>
              <w:t>Fair value change in</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ind w:left="380"/>
              <w:spacing w:after="0" w:line="141" w:lineRule="exact"/>
              <w:rPr>
                <w:sz w:val="20"/>
                <w:szCs w:val="20"/>
                <w:color w:val="auto"/>
              </w:rPr>
            </w:pPr>
            <w:r>
              <w:rPr>
                <w:rFonts w:ascii="Arial" w:cs="Arial" w:eastAsia="Arial" w:hAnsi="Arial"/>
                <w:sz w:val="13"/>
                <w:szCs w:val="13"/>
                <w:color w:val="auto"/>
              </w:rPr>
              <w:t>warrant liabilities</w:t>
            </w:r>
          </w:p>
        </w:tc>
        <w:tc>
          <w:tcPr>
            <w:tcW w:w="9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23,781</w:t>
            </w:r>
          </w:p>
        </w:tc>
        <w:tc>
          <w:tcPr>
            <w:tcW w:w="6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0.7</w:t>
            </w:r>
          </w:p>
        </w:tc>
        <w:tc>
          <w:tcPr>
            <w:tcW w:w="94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8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40"/>
              <w:spacing w:after="0" w:line="129" w:lineRule="exact"/>
              <w:rPr>
                <w:sz w:val="20"/>
                <w:szCs w:val="20"/>
                <w:color w:val="auto"/>
              </w:rPr>
            </w:pPr>
            <w:r>
              <w:rPr>
                <w:rFonts w:ascii="Arial" w:cs="Arial" w:eastAsia="Arial" w:hAnsi="Arial"/>
                <w:sz w:val="13"/>
                <w:szCs w:val="13"/>
                <w:color w:val="auto"/>
              </w:rPr>
              <w:t>Other income (loss),</w:t>
            </w: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shd w:val="clear" w:color="auto" w:fill="CCEEFF"/>
          </w:tcPr>
          <w:p>
            <w:pPr>
              <w:ind w:left="380"/>
              <w:spacing w:after="0" w:line="141" w:lineRule="exact"/>
              <w:rPr>
                <w:sz w:val="20"/>
                <w:szCs w:val="20"/>
                <w:color w:val="auto"/>
              </w:rPr>
            </w:pPr>
            <w:r>
              <w:rPr>
                <w:rFonts w:ascii="Arial" w:cs="Arial" w:eastAsia="Arial" w:hAnsi="Arial"/>
                <w:sz w:val="13"/>
                <w:szCs w:val="13"/>
                <w:color w:val="auto"/>
              </w:rPr>
              <w:t>net</w:t>
            </w:r>
          </w:p>
        </w:tc>
        <w:tc>
          <w:tcPr>
            <w:tcW w:w="92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21,579</w:t>
            </w: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0.7</w:t>
            </w:r>
          </w:p>
        </w:tc>
        <w:tc>
          <w:tcPr>
            <w:tcW w:w="9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3,581</w:t>
            </w:r>
          </w:p>
        </w:tc>
        <w:tc>
          <w:tcPr>
            <w:tcW w:w="64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0.1</w:t>
            </w:r>
          </w:p>
        </w:tc>
        <w:tc>
          <w:tcPr>
            <w:tcW w:w="9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(39,866)</w:t>
            </w:r>
          </w:p>
        </w:tc>
        <w:tc>
          <w:tcPr>
            <w:tcW w:w="82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(6,085)</w:t>
            </w: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(0.8)</w:t>
            </w:r>
          </w:p>
        </w:tc>
        <w:tc>
          <w:tcPr>
            <w:tcW w:w="680" w:type="dxa"/>
            <w:vAlign w:val="bottom"/>
            <w:gridSpan w:val="2"/>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6,559</w:t>
            </w:r>
          </w:p>
        </w:tc>
        <w:tc>
          <w:tcPr>
            <w:tcW w:w="80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0.9</w:t>
            </w:r>
          </w:p>
        </w:tc>
        <w:tc>
          <w:tcPr>
            <w:tcW w:w="9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914</w:t>
            </w:r>
          </w:p>
        </w:tc>
        <w:tc>
          <w:tcPr>
            <w:tcW w:w="84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140</w:t>
            </w:r>
          </w:p>
        </w:tc>
        <w:tc>
          <w:tcPr>
            <w:tcW w:w="620" w:type="dxa"/>
            <w:vAlign w:val="bottom"/>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Arial" w:cs="Arial" w:eastAsia="Arial" w:hAnsi="Arial"/>
                <w:sz w:val="13"/>
                <w:szCs w:val="13"/>
                <w:b w:val="1"/>
                <w:bCs w:val="1"/>
                <w:color w:val="auto"/>
              </w:rPr>
              <w:t>Loss before taxes</w:t>
            </w: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40" w:type="dxa"/>
            <w:vAlign w:val="bottom"/>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(209,364)</w:t>
            </w:r>
          </w:p>
        </w:tc>
        <w:tc>
          <w:tcPr>
            <w:tcW w:w="200" w:type="dxa"/>
            <w:vAlign w:val="bottom"/>
            <w:vMerge w:val="continue"/>
          </w:tcPr>
          <w:p>
            <w:pPr>
              <w:spacing w:after="0"/>
              <w:rPr>
                <w:sz w:val="12"/>
                <w:szCs w:val="12"/>
                <w:color w:val="auto"/>
              </w:rPr>
            </w:pPr>
          </w:p>
        </w:tc>
        <w:tc>
          <w:tcPr>
            <w:tcW w:w="640" w:type="dxa"/>
            <w:vAlign w:val="bottom"/>
            <w:gridSpan w:val="2"/>
          </w:tcPr>
          <w:p>
            <w:pPr>
              <w:jc w:val="right"/>
              <w:ind w:right="140"/>
              <w:spacing w:after="0" w:line="142" w:lineRule="exact"/>
              <w:rPr>
                <w:sz w:val="20"/>
                <w:szCs w:val="20"/>
                <w:color w:val="auto"/>
              </w:rPr>
            </w:pPr>
            <w:r>
              <w:rPr>
                <w:rFonts w:ascii="Arial" w:cs="Arial" w:eastAsia="Arial" w:hAnsi="Arial"/>
                <w:sz w:val="13"/>
                <w:szCs w:val="13"/>
                <w:b w:val="1"/>
                <w:bCs w:val="1"/>
                <w:color w:val="auto"/>
              </w:rPr>
              <w:t>(6.4)</w:t>
            </w:r>
          </w:p>
        </w:tc>
        <w:tc>
          <w:tcPr>
            <w:tcW w:w="7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(732,809)</w:t>
            </w:r>
          </w:p>
        </w:tc>
        <w:tc>
          <w:tcPr>
            <w:tcW w:w="200" w:type="dxa"/>
            <w:vAlign w:val="bottom"/>
            <w:vMerge w:val="continue"/>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(18.6)</w:t>
            </w:r>
          </w:p>
        </w:tc>
        <w:tc>
          <w:tcPr>
            <w:tcW w:w="18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(510,412)</w:t>
            </w:r>
          </w:p>
        </w:tc>
        <w:tc>
          <w:tcPr>
            <w:tcW w:w="200" w:type="dxa"/>
            <w:vAlign w:val="bottom"/>
            <w:vMerge w:val="continue"/>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(77,904)</w:t>
            </w:r>
          </w:p>
        </w:tc>
        <w:tc>
          <w:tcPr>
            <w:tcW w:w="200" w:type="dxa"/>
            <w:vAlign w:val="bottom"/>
            <w:vMerge w:val="continue"/>
          </w:tcPr>
          <w:p>
            <w:pPr>
              <w:spacing w:after="0"/>
              <w:rPr>
                <w:sz w:val="12"/>
                <w:szCs w:val="12"/>
                <w:color w:val="auto"/>
              </w:rPr>
            </w:pPr>
          </w:p>
        </w:tc>
        <w:tc>
          <w:tcPr>
            <w:tcW w:w="68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(10.5)</w:t>
            </w: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(194,012)</w:t>
            </w:r>
          </w:p>
        </w:tc>
        <w:tc>
          <w:tcPr>
            <w:tcW w:w="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(28.0)</w:t>
            </w:r>
          </w:p>
        </w:tc>
        <w:tc>
          <w:tcPr>
            <w:tcW w:w="7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(113,628)</w:t>
            </w:r>
          </w:p>
        </w:tc>
        <w:tc>
          <w:tcPr>
            <w:tcW w:w="20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(17,342)</w:t>
            </w:r>
          </w:p>
        </w:tc>
        <w:tc>
          <w:tcPr>
            <w:tcW w:w="200" w:type="dxa"/>
            <w:vAlign w:val="bottom"/>
            <w:vMerge w:val="continue"/>
          </w:tcPr>
          <w:p>
            <w:pPr>
              <w:spacing w:after="0"/>
              <w:rPr>
                <w:sz w:val="12"/>
                <w:szCs w:val="12"/>
                <w:color w:val="auto"/>
              </w:rPr>
            </w:pPr>
          </w:p>
        </w:tc>
        <w:tc>
          <w:tcPr>
            <w:tcW w:w="620" w:type="dxa"/>
            <w:vAlign w:val="bottom"/>
            <w:gridSpan w:val="2"/>
          </w:tcPr>
          <w:p>
            <w:pPr>
              <w:jc w:val="right"/>
              <w:ind w:right="80"/>
              <w:spacing w:after="0" w:line="142" w:lineRule="exact"/>
              <w:rPr>
                <w:sz w:val="20"/>
                <w:szCs w:val="20"/>
                <w:color w:val="auto"/>
              </w:rPr>
            </w:pPr>
            <w:r>
              <w:rPr>
                <w:rFonts w:ascii="Arial" w:cs="Arial" w:eastAsia="Arial" w:hAnsi="Arial"/>
                <w:sz w:val="13"/>
                <w:szCs w:val="13"/>
                <w:b w:val="1"/>
                <w:bCs w:val="1"/>
                <w:color w:val="auto"/>
              </w:rPr>
              <w:t>(7.5)</w:t>
            </w: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Income tax benefits</w:t>
            </w:r>
          </w:p>
        </w:tc>
        <w:tc>
          <w:tcPr>
            <w:tcW w:w="9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1,922</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0.0</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30,120</w:t>
            </w: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0.8</w:t>
            </w:r>
          </w:p>
        </w:tc>
        <w:tc>
          <w:tcPr>
            <w:tcW w:w="9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47,320</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7,222</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w:t>
            </w: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12,028</w:t>
            </w:r>
          </w:p>
        </w:tc>
        <w:tc>
          <w:tcPr>
            <w:tcW w:w="8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1.7</w:t>
            </w:r>
          </w:p>
        </w:tc>
        <w:tc>
          <w:tcPr>
            <w:tcW w:w="9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19,459</w:t>
            </w:r>
          </w:p>
        </w:tc>
        <w:tc>
          <w:tcPr>
            <w:tcW w:w="8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2,970</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28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3"/>
                <w:szCs w:val="13"/>
                <w:b w:val="1"/>
                <w:bCs w:val="1"/>
                <w:color w:val="auto"/>
                <w:w w:val="96"/>
              </w:rPr>
              <w:t>For the Year Ended December 31,</w:t>
            </w: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3"/>
                <w:szCs w:val="13"/>
                <w:b w:val="1"/>
                <w:bCs w:val="1"/>
                <w:color w:val="auto"/>
              </w:rPr>
              <w:t>For the Three Months Ended March 31,</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3"/>
                <w:szCs w:val="13"/>
                <w:b w:val="1"/>
                <w:bCs w:val="1"/>
                <w:color w:val="auto"/>
              </w:rPr>
              <w:t>2018</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ind w:right="80"/>
              <w:spacing w:after="0" w:line="129"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17"/>
              <w:spacing w:after="0" w:line="129"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177"/>
              <w:spacing w:after="0" w:line="129" w:lineRule="exact"/>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800" w:type="dxa"/>
            <w:vAlign w:val="bottom"/>
            <w:tcBorders>
              <w:top w:val="single" w:sz="8" w:color="auto"/>
              <w:bottom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RMB</w:t>
            </w:r>
          </w:p>
        </w:tc>
        <w:tc>
          <w:tcPr>
            <w:tcW w:w="30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RMB</w:t>
            </w:r>
          </w:p>
        </w:tc>
        <w:tc>
          <w:tcPr>
            <w:tcW w:w="380" w:type="dxa"/>
            <w:vAlign w:val="bottom"/>
            <w:tcBorders>
              <w:top w:val="single" w:sz="8" w:color="auto"/>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RMB</w:t>
            </w: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US$</w:t>
            </w:r>
          </w:p>
        </w:tc>
        <w:tc>
          <w:tcPr>
            <w:tcW w:w="300" w:type="dxa"/>
            <w:vAlign w:val="bottom"/>
            <w:tcBorders>
              <w:top w:val="single" w:sz="8" w:color="auto"/>
              <w:bottom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RMB</w:t>
            </w:r>
          </w:p>
        </w:tc>
        <w:tc>
          <w:tcPr>
            <w:tcW w:w="400" w:type="dxa"/>
            <w:vAlign w:val="bottom"/>
            <w:tcBorders>
              <w:top w:val="single" w:sz="8" w:color="auto"/>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RMB</w:t>
            </w:r>
          </w:p>
        </w:tc>
        <w:tc>
          <w:tcPr>
            <w:tcW w:w="760" w:type="dxa"/>
            <w:vAlign w:val="bottom"/>
            <w:tcBorders>
              <w:top w:val="single" w:sz="8" w:color="auto"/>
              <w:bottom w:val="single" w:sz="8" w:color="auto"/>
            </w:tcBorders>
            <w:gridSpan w:val="2"/>
          </w:tcPr>
          <w:p>
            <w:pPr>
              <w:jc w:val="right"/>
              <w:ind w:right="360"/>
              <w:spacing w:after="0" w:line="129" w:lineRule="exact"/>
              <w:rPr>
                <w:sz w:val="20"/>
                <w:szCs w:val="20"/>
                <w:color w:val="auto"/>
              </w:rPr>
            </w:pPr>
            <w:r>
              <w:rPr>
                <w:rFonts w:ascii="Arial" w:cs="Arial" w:eastAsia="Arial" w:hAnsi="Arial"/>
                <w:sz w:val="13"/>
                <w:szCs w:val="13"/>
                <w:b w:val="1"/>
                <w:bCs w:val="1"/>
                <w:color w:val="auto"/>
              </w:rPr>
              <w:t>US$</w:t>
            </w:r>
          </w:p>
        </w:tc>
        <w:tc>
          <w:tcPr>
            <w:tcW w:w="340" w:type="dxa"/>
            <w:vAlign w:val="bottom"/>
            <w:tcBorders>
              <w:top w:val="single" w:sz="8" w:color="auto"/>
              <w:bottom w:val="single" w:sz="8" w:color="auto"/>
            </w:tcBorders>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00" w:type="dxa"/>
            <w:vAlign w:val="bottom"/>
            <w:gridSpan w:val="9"/>
          </w:tcPr>
          <w:p>
            <w:pPr>
              <w:jc w:val="right"/>
              <w:ind w:right="400"/>
              <w:spacing w:after="0" w:line="129" w:lineRule="exact"/>
              <w:rPr>
                <w:sz w:val="20"/>
                <w:szCs w:val="20"/>
                <w:color w:val="auto"/>
              </w:rPr>
            </w:pPr>
            <w:r>
              <w:rPr>
                <w:rFonts w:ascii="Arial" w:cs="Arial" w:eastAsia="Arial" w:hAnsi="Arial"/>
                <w:sz w:val="13"/>
                <w:szCs w:val="13"/>
                <w:b w:val="1"/>
                <w:bCs w:val="1"/>
                <w:color w:val="auto"/>
              </w:rPr>
              <w:t>(in thousands, except for percentages)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Share of loss in equity method investments</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(499)</w:t>
            </w:r>
          </w:p>
        </w:tc>
        <w:tc>
          <w:tcPr>
            <w:tcW w:w="4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0.0</w:t>
            </w:r>
          </w:p>
        </w:tc>
        <w:tc>
          <w:tcPr>
            <w:tcW w:w="9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(2,199)</w:t>
            </w:r>
          </w:p>
        </w:tc>
        <w:tc>
          <w:tcPr>
            <w:tcW w:w="5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(0.1)</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(7,526)</w:t>
            </w:r>
          </w:p>
        </w:tc>
        <w:tc>
          <w:tcPr>
            <w:tcW w:w="84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(1,149)</w:t>
            </w:r>
          </w:p>
        </w:tc>
        <w:tc>
          <w:tcPr>
            <w:tcW w:w="50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(0.2)</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(4,281)</w:t>
            </w:r>
          </w:p>
        </w:tc>
        <w:tc>
          <w:tcPr>
            <w:tcW w:w="6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(0.6)</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(612)</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(93)</w:t>
            </w:r>
          </w:p>
        </w:tc>
        <w:tc>
          <w:tcPr>
            <w:tcW w:w="4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3"/>
                <w:szCs w:val="13"/>
                <w:b w:val="1"/>
                <w:bCs w:val="1"/>
                <w:color w:val="auto"/>
              </w:rPr>
              <w:t>Net loss</w:t>
            </w: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vMerge w:val="continue"/>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(207,941)</w:t>
            </w:r>
          </w:p>
        </w:tc>
        <w:tc>
          <w:tcPr>
            <w:tcW w:w="200" w:type="dxa"/>
            <w:vAlign w:val="bottom"/>
            <w:vMerge w:val="continue"/>
          </w:tcPr>
          <w:p>
            <w:pPr>
              <w:spacing w:after="0"/>
              <w:rPr>
                <w:sz w:val="12"/>
                <w:szCs w:val="12"/>
                <w:color w:val="auto"/>
              </w:rPr>
            </w:pPr>
          </w:p>
        </w:tc>
        <w:tc>
          <w:tcPr>
            <w:tcW w:w="400" w:type="dxa"/>
            <w:vAlign w:val="bottom"/>
            <w:gridSpan w:val="2"/>
          </w:tcPr>
          <w:p>
            <w:pPr>
              <w:jc w:val="right"/>
              <w:ind w:right="60"/>
              <w:spacing w:after="0" w:line="142" w:lineRule="exact"/>
              <w:rPr>
                <w:sz w:val="20"/>
                <w:szCs w:val="20"/>
                <w:color w:val="auto"/>
              </w:rPr>
            </w:pPr>
            <w:r>
              <w:rPr>
                <w:rFonts w:ascii="Arial" w:cs="Arial" w:eastAsia="Arial" w:hAnsi="Arial"/>
                <w:sz w:val="13"/>
                <w:szCs w:val="13"/>
                <w:b w:val="1"/>
                <w:bCs w:val="1"/>
                <w:color w:val="auto"/>
              </w:rPr>
              <w:t>(6.4)</w:t>
            </w:r>
          </w:p>
        </w:tc>
        <w:tc>
          <w:tcPr>
            <w:tcW w:w="80" w:type="dxa"/>
            <w:vAlign w:val="bottom"/>
            <w:vMerge w:val="continue"/>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(704,888)</w:t>
            </w:r>
          </w:p>
        </w:tc>
        <w:tc>
          <w:tcPr>
            <w:tcW w:w="200" w:type="dxa"/>
            <w:vAlign w:val="bottom"/>
            <w:vMerge w:val="continue"/>
          </w:tcPr>
          <w:p>
            <w:pPr>
              <w:spacing w:after="0"/>
              <w:rPr>
                <w:sz w:val="12"/>
                <w:szCs w:val="12"/>
                <w:color w:val="auto"/>
              </w:rPr>
            </w:pPr>
          </w:p>
        </w:tc>
        <w:tc>
          <w:tcPr>
            <w:tcW w:w="58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(17.9)</w:t>
            </w: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(470,618)</w:t>
            </w:r>
          </w:p>
        </w:tc>
        <w:tc>
          <w:tcPr>
            <w:tcW w:w="1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(71,831)</w:t>
            </w:r>
          </w:p>
        </w:tc>
        <w:tc>
          <w:tcPr>
            <w:tcW w:w="220" w:type="dxa"/>
            <w:vAlign w:val="bottom"/>
            <w:vMerge w:val="continue"/>
          </w:tcPr>
          <w:p>
            <w:pPr>
              <w:spacing w:after="0"/>
              <w:rPr>
                <w:sz w:val="12"/>
                <w:szCs w:val="12"/>
                <w:color w:val="auto"/>
              </w:rPr>
            </w:pPr>
          </w:p>
        </w:tc>
        <w:tc>
          <w:tcPr>
            <w:tcW w:w="300" w:type="dxa"/>
            <w:vAlign w:val="bottom"/>
          </w:tcPr>
          <w:p>
            <w:pPr>
              <w:ind w:left="80"/>
              <w:spacing w:after="0" w:line="142" w:lineRule="exact"/>
              <w:rPr>
                <w:sz w:val="20"/>
                <w:szCs w:val="20"/>
                <w:color w:val="auto"/>
              </w:rPr>
            </w:pPr>
            <w:r>
              <w:rPr>
                <w:rFonts w:ascii="Arial" w:cs="Arial" w:eastAsia="Arial" w:hAnsi="Arial"/>
                <w:sz w:val="13"/>
                <w:szCs w:val="13"/>
                <w:b w:val="1"/>
                <w:bCs w:val="1"/>
                <w:color w:val="auto"/>
                <w:w w:val="74"/>
              </w:rPr>
              <w:t>(9.7)</w:t>
            </w:r>
          </w:p>
        </w:tc>
        <w:tc>
          <w:tcPr>
            <w:tcW w:w="200" w:type="dxa"/>
            <w:vAlign w:val="bottom"/>
            <w:vMerge w:val="continue"/>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(186,265)</w:t>
            </w:r>
          </w:p>
        </w:tc>
        <w:tc>
          <w:tcPr>
            <w:tcW w:w="200" w:type="dxa"/>
            <w:vAlign w:val="bottom"/>
            <w:vMerge w:val="continue"/>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rPr>
              <w:t>(26.9)</w:t>
            </w: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(94,781)</w:t>
            </w:r>
          </w:p>
        </w:tc>
        <w:tc>
          <w:tcPr>
            <w:tcW w:w="200" w:type="dxa"/>
            <w:vAlign w:val="bottom"/>
            <w:vMerge w:val="continue"/>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(14,465)</w:t>
            </w:r>
          </w:p>
        </w:tc>
        <w:tc>
          <w:tcPr>
            <w:tcW w:w="200" w:type="dxa"/>
            <w:vAlign w:val="bottom"/>
            <w:vMerge w:val="continue"/>
          </w:tcPr>
          <w:p>
            <w:pPr>
              <w:spacing w:after="0"/>
              <w:rPr>
                <w:sz w:val="12"/>
                <w:szCs w:val="12"/>
                <w:color w:val="auto"/>
              </w:rPr>
            </w:pPr>
          </w:p>
        </w:tc>
        <w:tc>
          <w:tcPr>
            <w:tcW w:w="460" w:type="dxa"/>
            <w:vAlign w:val="bottom"/>
            <w:gridSpan w:val="2"/>
          </w:tcPr>
          <w:p>
            <w:pPr>
              <w:ind w:left="120"/>
              <w:spacing w:after="0" w:line="142" w:lineRule="exact"/>
              <w:rPr>
                <w:sz w:val="20"/>
                <w:szCs w:val="20"/>
                <w:color w:val="auto"/>
              </w:rPr>
            </w:pPr>
            <w:r>
              <w:rPr>
                <w:rFonts w:ascii="Arial" w:cs="Arial" w:eastAsia="Arial" w:hAnsi="Arial"/>
                <w:sz w:val="13"/>
                <w:szCs w:val="13"/>
                <w:b w:val="1"/>
                <w:bCs w:val="1"/>
                <w:color w:val="auto"/>
              </w:rPr>
              <w:t>(6.3)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Non-GAAP financial measures</w:t>
            </w:r>
            <w:r>
              <w:rPr>
                <w:rFonts w:ascii="Arial" w:cs="Arial" w:eastAsia="Arial" w:hAnsi="Arial"/>
                <w:sz w:val="10"/>
                <w:szCs w:val="10"/>
                <w:b w:val="1"/>
                <w:bCs w:val="1"/>
                <w:color w:val="auto"/>
              </w:rPr>
              <w:t>(1)</w:t>
            </w: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line="135" w:lineRule="exact"/>
              <w:rPr>
                <w:sz w:val="20"/>
                <w:szCs w:val="20"/>
                <w:color w:val="auto"/>
              </w:rPr>
            </w:pPr>
            <w:r>
              <w:rPr>
                <w:rFonts w:ascii="Arial" w:cs="Arial" w:eastAsia="Arial" w:hAnsi="Arial"/>
                <w:sz w:val="13"/>
                <w:szCs w:val="13"/>
                <w:color w:val="auto"/>
              </w:rPr>
              <w:t>Adjusted loss from operations</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(232,798)</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(535,178)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(143,654)</w:t>
            </w:r>
          </w:p>
        </w:tc>
        <w:tc>
          <w:tcPr>
            <w:tcW w:w="84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(21,926)</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(118,846)</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(33,572)</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(5,124)</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Adjusted net loss</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(209,981)</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(538,380)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(202,815)</w:t>
            </w:r>
          </w:p>
        </w:tc>
        <w:tc>
          <w:tcPr>
            <w:tcW w:w="84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(30,956)</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(118,193)</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(36,402)</w:t>
            </w: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(5,555)</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See “Summary Consolidated Financial and Operating Data—Non-GAAP Financial Measures.”</w:t>
      </w:r>
    </w:p>
    <w:p>
      <w:pPr>
        <w:spacing w:after="0" w:line="297" w:lineRule="exact"/>
        <w:rPr>
          <w:sz w:val="20"/>
          <w:szCs w:val="20"/>
          <w:color w:val="auto"/>
        </w:rPr>
      </w:pPr>
    </w:p>
    <w:p>
      <w:pPr>
        <w:ind w:left="120" w:right="3700"/>
        <w:spacing w:after="0" w:line="372" w:lineRule="auto"/>
        <w:rPr>
          <w:sz w:val="20"/>
          <w:szCs w:val="20"/>
          <w:color w:val="auto"/>
        </w:rPr>
      </w:pPr>
      <w:r>
        <w:rPr>
          <w:rFonts w:ascii="Arial" w:cs="Arial" w:eastAsia="Arial" w:hAnsi="Arial"/>
          <w:sz w:val="18"/>
          <w:szCs w:val="18"/>
          <w:b w:val="1"/>
          <w:bCs w:val="1"/>
          <w:i w:val="1"/>
          <w:iCs w:val="1"/>
          <w:color w:val="auto"/>
        </w:rPr>
        <w:t>Three months ended March 31, 2021 compared to three months ended March 31, 2020 Net revenues</w:t>
      </w:r>
    </w:p>
    <w:p>
      <w:pPr>
        <w:spacing w:after="0" w:line="1"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Our net revenues, which consisted of net product revenues and net service revenues, increased by 118.8% from RMB692.2 million in the three months ended March 31, 2020 to RMB1,514.4 million (US$231.1 million) in the three months ended March 31, 2021. This increase was primarily due to a RMB704.4 million increase in our net product revenues and a RMB117.8 million increase in our net service revenues. Our GMV has grown rapidly by 106.7% from RMB3.0 billion in the three months ended March 31, 2020 to RMB6.2 billion (US$0.9 billion) in the three months ended March 31, 2021. The number of consumer products transacted increased by 68.4% from 3.8 million in the three months ended March 31, 2020 to 6.4 million in the three months ended March 31, 2021.</w:t>
      </w:r>
    </w:p>
    <w:p>
      <w:pPr>
        <w:spacing w:after="0" w:line="110" w:lineRule="exact"/>
        <w:rPr>
          <w:sz w:val="20"/>
          <w:szCs w:val="20"/>
          <w:color w:val="auto"/>
        </w:rPr>
      </w:pPr>
    </w:p>
    <w:p>
      <w:pPr>
        <w:ind w:left="880" w:right="100" w:hanging="224"/>
        <w:spacing w:after="0" w:line="237"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product revenues. Our net product revenues increased by 116.2% from RMB606.1 million in the three months ended March 31, 2020 to RMB1,310.5 million (US$200.0 million) in the three months ended March 31, 2021. This increase was attributable to an increase in the sales of pre-owned consumer electronics through PJT Marketplace as our business on PJT Marketplace recovered from the COVID-19 pandemic in the first quarter of 2021, and an increase in our sales on Paipai Marketplace and our offline trade-in channels. Our GMV for product sales has grown rapidly by 133.3% from RMB0.6 billion in the three months ended March 31, 2020 to RMB1.4 billion (US$0.2 billion) in the three months ended March 31, 2021.</w:t>
      </w:r>
    </w:p>
    <w:p>
      <w:pPr>
        <w:spacing w:after="0" w:line="110" w:lineRule="exact"/>
        <w:rPr>
          <w:rFonts w:ascii="Arial" w:cs="Arial" w:eastAsia="Arial" w:hAnsi="Arial"/>
          <w:sz w:val="18"/>
          <w:szCs w:val="18"/>
          <w:color w:val="auto"/>
        </w:rPr>
      </w:pPr>
    </w:p>
    <w:p>
      <w:pPr>
        <w:ind w:left="880" w:right="100" w:hanging="224"/>
        <w:spacing w:after="0" w:line="238"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service revenues. Our net service revenues increased by 136.8% from RMB86.1 million in the three months ended March 31, 2020 to RMB203.9 million (US$31.2 million) in the three months ended March 31, 2021. This increase was attributable to an increase in transaction volume on PJT Marketplace and Paipai Marketplace and a change in our commission fee strategy. Our GMV for online marketplaces has grown rapidly by 100.0% from RMB2.4 billion in the three months ended March 31, 2020 to RMB4.8 billion (US$0.7 billion) in the three months ended March 31,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costs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merchandise costs increased by 118.8% from RMB500.8 million in the three months ended March 31, 2020 to RMB1,095.7 million (US$167.2 million) in the three months ended March 31, 2021, primarily attributable to the growth of our product sales, indicated by the growth of GMV for products sales from RMB0.6 billion in the three months ended March 31, 2020 to RMB1.4 billion (US$0.2 billion) in the three months ended March 31,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Fulfillment expenses</w:t>
      </w:r>
    </w:p>
    <w:p>
      <w:pPr>
        <w:spacing w:after="0" w:line="126"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Our fulfillment expenses increased by 41.2% from RMB158.0 million in the three months ended March 31, 2020 to RMB223.0 million (US$34.0 million) in the three months ended March 31, 2021, which was mainly due to an increase in personnel related expenses from RMB91.8 million in the three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20"/>
        <w:spacing w:after="0" w:line="237" w:lineRule="auto"/>
        <w:rPr>
          <w:sz w:val="20"/>
          <w:szCs w:val="20"/>
          <w:color w:val="auto"/>
        </w:rPr>
      </w:pPr>
      <w:r>
        <w:rPr>
          <w:rFonts w:ascii="Arial" w:cs="Arial" w:eastAsia="Arial" w:hAnsi="Arial"/>
          <w:sz w:val="18"/>
          <w:szCs w:val="18"/>
          <w:color w:val="auto"/>
        </w:rPr>
        <w:t>months ended March 31, 2020 to RMB126.3 million (US$19.3 million) in the three months ended March 31, 2021 as (i) the temporary exemption from social insurance contribution we benefited from in 2020 due to the COVID-19 outbreak was no longer in place in 2021, and (ii) we paid an incentive bonus to employees in the three months ended March 31, 2021. The increase in fulfillment expenses was also driven by an increase in logistics expenses from RMB14.7 million in the three months ended March 31, 2020 to RMB36.3 million (US$5.5 million) in the three months ended March 31, 2021, which were in line with the increase in sales of pre-owned consumer electronics.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26" w:lineRule="exact"/>
        <w:rPr>
          <w:sz w:val="20"/>
          <w:szCs w:val="20"/>
          <w:color w:val="auto"/>
        </w:rPr>
      </w:pPr>
    </w:p>
    <w:p>
      <w:pPr>
        <w:ind w:left="120" w:right="160" w:firstLine="551"/>
        <w:spacing w:after="0" w:line="236" w:lineRule="auto"/>
        <w:rPr>
          <w:sz w:val="20"/>
          <w:szCs w:val="20"/>
          <w:color w:val="auto"/>
        </w:rPr>
      </w:pPr>
      <w:r>
        <w:rPr>
          <w:rFonts w:ascii="Arial" w:cs="Arial" w:eastAsia="Arial" w:hAnsi="Arial"/>
          <w:sz w:val="18"/>
          <w:szCs w:val="18"/>
          <w:color w:val="auto"/>
        </w:rPr>
        <w:t>Our selling and marketing expenses increased by 54.4% from RMB144.2 million in the three months ended March 31, 2020 to RMB222.6 million (US$34.0 million) in the three months ended March 31, 2021, primarily due to (i) an increase in promotion expenses from RMB10.0 million in the three months ended March 31, 2020 to RMB49.3 million (US$7.5 million) in the three months ended March 31, 2021; (ii) an increase in sales commissions paid to JD Group in connection with traffic acquisition and sourcing of pre-owned devices from RMB14.1 million in the three months ended March 31, 2020 to RMB34.6 million (US$5.3 million) in the three months ended March 31, 2021; and (iii) an increase in personnel related expenses from RMB22.3 million in the three months ended March 31, 2020 to RMB38.4 million (US$5.9 million) in the three months ended March 31, 2021 as we paid an incentive bonus to employees in the three months ended March 31, 2021.</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Our general and administrative expenses decreased by 45.4% from RMB53.9 million in the three months ended March 31, 2020 to RMB29.4 million (US$4.5 million) in the three months ended March 31, 2021, which was mainly due to a one-off compensation of RMB27.1 million we paid to certain management and employees resigned in the three months ended March 31, 2020, which was calculated based on their years of service and past contribution to us. We did not incur such compensation expenses in the three months ended March 31,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content expenses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technology and content expenses increased by 38.2% from RMB40.2 million in the three months ended March 31, 2020 to RMB55.5 million (US$8.5 million) in the three months ended March 31, 2021, which was mainly due to an increase in personnel related expenses from RMB34.4 million in the three months ended March 31, 2020 to RMB50.2 million (US$7.7 million) in the three months ended March 31, 2021 as we paid an incentive bonus to employees in the three months ended March 31, 2021 and expanded our research and development team.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26"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Our other operating income decreased from RMB5.8 million in the three months ended March 31, 2020 to RMB0.4 million (US$55 thousand) in the three months ended March 31, 2021, which was mainly attributable to a decrease in government subsidies.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26"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As a result of the foregoing, we incurred RMB111.4 million (US$ 17.0 million) of loss from operations in the three months ended March 31, 2021, as compared to RMB198.9 million in the three months ended March 31, 2020.</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We had interest expense of RMB3.5 million and RMB6.6 million (US$1.0 million) in the three months ended March 31, 2020 and 2021, respectively. The increase was primarily attributable to an increase in short-term borrowings.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We had interest income of RMB1.9 million and RMB3.4 million (US$0.5 million) in the three months ended March 31, 2020 and 2021, respectively. The increase was primarily attributable to our purchase of high-yield investment products in the three months ended March 31,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26"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Our other income, net was RMB6.6 million and RMB0.9 million (US$0.1 million) in the three months ended March 31, 2020 and 2021, respectively. The decrease was primarily attributable to a decrease in foreign exchange gains.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benefits</w:t>
      </w:r>
    </w:p>
    <w:p>
      <w:pPr>
        <w:spacing w:after="0" w:line="126" w:lineRule="exact"/>
        <w:rPr>
          <w:sz w:val="20"/>
          <w:szCs w:val="20"/>
          <w:color w:val="auto"/>
        </w:rPr>
      </w:pPr>
    </w:p>
    <w:p>
      <w:pPr>
        <w:ind w:left="120" w:right="60" w:firstLine="551"/>
        <w:spacing w:after="0" w:line="274" w:lineRule="auto"/>
        <w:rPr>
          <w:sz w:val="20"/>
          <w:szCs w:val="20"/>
          <w:color w:val="auto"/>
        </w:rPr>
      </w:pPr>
      <w:r>
        <w:rPr>
          <w:rFonts w:ascii="Arial" w:cs="Arial" w:eastAsia="Arial" w:hAnsi="Arial"/>
          <w:sz w:val="17"/>
          <w:szCs w:val="17"/>
          <w:color w:val="auto"/>
        </w:rPr>
        <w:t>We had income tax benefits of RMB12.0 million and RMB19.5 million (US$3.0 million) in the three months ended March 31, 2020 and 2021, respectively. The increase was primarily attributable to an increase in the enterprise income tax rate for one of our subsidiaries.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of loss in equity method investments</w:t>
      </w:r>
    </w:p>
    <w:p>
      <w:pPr>
        <w:spacing w:after="0" w:line="126"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We had share of loss in equity method investments of RMB4.3 million and RMB0.6 million (US$93 thousand) in the three months ended March 31, 2020 and 2021, respectively. The difference was primarily attributable to a decrease in losses of equity method investments.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26"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As a result of the foregoing, our net loss was RMB94.8 million (US$14.5 million) in the three months ended March 31, 2021, as compared to RMB186.3 million in the three months ended March 31, 2020.</w:t>
      </w:r>
    </w:p>
    <w:p>
      <w:pPr>
        <w:spacing w:after="0" w:line="283" w:lineRule="exact"/>
        <w:rPr>
          <w:sz w:val="20"/>
          <w:szCs w:val="20"/>
          <w:color w:val="auto"/>
        </w:rPr>
      </w:pPr>
    </w:p>
    <w:p>
      <w:pPr>
        <w:ind w:left="120" w:right="4480"/>
        <w:spacing w:after="0" w:line="372" w:lineRule="auto"/>
        <w:rPr>
          <w:sz w:val="20"/>
          <w:szCs w:val="20"/>
          <w:color w:val="auto"/>
        </w:rPr>
      </w:pPr>
      <w:r>
        <w:rPr>
          <w:rFonts w:ascii="Arial" w:cs="Arial" w:eastAsia="Arial" w:hAnsi="Arial"/>
          <w:sz w:val="18"/>
          <w:szCs w:val="18"/>
          <w:b w:val="1"/>
          <w:bCs w:val="1"/>
          <w:i w:val="1"/>
          <w:iCs w:val="1"/>
          <w:color w:val="auto"/>
        </w:rPr>
        <w:t>Year Ended December 31, 2020 Compared to Year Ended December 31, 2019 Net revenues</w:t>
      </w:r>
    </w:p>
    <w:p>
      <w:pPr>
        <w:spacing w:after="0" w:line="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net revenues, which consisted of net product revenues and net service revenues, increased by 23.6% from RMB3,931.9 million in 2019 to RMB4,858.2 million (US$741.5 million) in 2020. This increase was primarily due to a RMB513.8 million increase in our net product revenues and RMB412.5 million increase in our net service revenues. Our GMV has grown rapidly by 60.7% from RMB12.2 billion in 2019 to RMB19.6 billion (US$3.0 billion) in 2020. The number of consumer products transacted increased by 48.4% from 15.9 million in 2019 to 23.6 million in 2020.</w:t>
      </w:r>
    </w:p>
    <w:p>
      <w:pPr>
        <w:spacing w:after="0" w:line="108" w:lineRule="exact"/>
        <w:rPr>
          <w:sz w:val="20"/>
          <w:szCs w:val="20"/>
          <w:color w:val="auto"/>
        </w:rPr>
      </w:pPr>
    </w:p>
    <w:p>
      <w:pPr>
        <w:ind w:left="880" w:right="80" w:hanging="224"/>
        <w:spacing w:after="0" w:line="238"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product revenues. Our net product revenues increased by 13.8% from RMB3,730.2 million in 2019 to RMB4,244.0 million (US$647.8 million) in 2020. This increase was attributable to an increase in the sale of pre-owned consumer electronics through Paipai Marketplace (especially Paipai Selection), PJT Marketplace and our offline trade-in channels and the increase of our overseas pre-owned consumer electronics transactions. Our GMV for product sales has grown rapidly by 17.9% from RMB3.9 billion in 2019 to RMB4.6 billion (US$0.7 billion) in 2020.</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line="255" w:lineRule="auto"/>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Net service revenues. Our net service revenues increased by 204.5% from RMB201.7 million in 2019 to RMB614.2 million (US$93.7 million) in 2020. This increase was attributable to an increase in transaction volume on PJT Marketplace and a change in our commission fee setting strategy. In addition, we acquired Paipai Marketplace from JD Group in June 2019. Therefore, we only received service revenues for transactions on our Paipai Marketplace from June to December in 2019. Our GMV for online marketplaces has grown rapidly by 80.7% from RMB8.3 billion in 2019 to RMB15.0 billion (US$2.3 billion) in 2020.</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costs</w:t>
      </w:r>
    </w:p>
    <w:p>
      <w:pPr>
        <w:spacing w:after="0" w:line="12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Our merchandise costs increased by 13.7% from RMB3,176.4 million in 2019 to RMB3,610.4 million (US$551.1 million) in 2020, primarily attributable to the growth of our product sales, indicated by the growth of GMV for products sales from RMB 3.9 billion in 2019 to RMB4.6 billion (US$0.7 billion) in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Fulfillment expenses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Our fulfillment expenses increased by 1.2% from RMB658.1 million in 2019 to RMB666.3 million (US$101.7 million) in 2020, which was mainly due to a decrease in personnel related expenses from RMB356.0 million in 2019 to RMB252.9 million (US$38.6 million) in 2020 as we optimized staffing efficiency and benefited from a temporary social insurance contribution exemption due to COVID-19. This was partially offset by an increase in outsourced service expenses from RMB39.9 million in 2019 to RMB100.2 million (US$15.3 million) in 2020 and an increase in logistics expenses from RMB76.4 million in 2019 to RMB107.0 million (US$16.3 million) in 2020, which were in line with the increase in sales of pre-owned consumer electronics.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Our selling and marketing expenses increased by 30.6% from RMB566.8 million in 2019 to RMB740.5 million (US$113.0 million) in 2020, primarily due to amortization expenses related to the acquisition of Paipai. We acquired Paipai from JD Group in June 2019. As a result, we incurred RMB308.8 million (US$47.1 million) of amortization expenses in 2020 as compared to RMB193.2 million in 2019 related to the intangible assets purchased in the acquisition of Paipai Marketplace that were allocated to selling and marketing expenses, which substantially increased our selling and marketing expenses in 2020. We also experienced an increase in sales commission paid to JD Group in connection with traffic acquisition and sourcing of pre-owned devices from RMB54.7 million in 2019 to RMB110.1 million (US$16.8 million) in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general and administrative expenses increased by 26.0% from RMB140.9 million in 2019 to RMB177.5 million</w:t>
      </w:r>
    </w:p>
    <w:p>
      <w:pPr>
        <w:ind w:left="120" w:right="80"/>
        <w:spacing w:after="0" w:line="238" w:lineRule="auto"/>
        <w:rPr>
          <w:sz w:val="20"/>
          <w:szCs w:val="20"/>
          <w:color w:val="auto"/>
        </w:rPr>
      </w:pPr>
      <w:r>
        <w:rPr>
          <w:rFonts w:ascii="Arial" w:cs="Arial" w:eastAsia="Arial" w:hAnsi="Arial"/>
          <w:sz w:val="18"/>
          <w:szCs w:val="18"/>
          <w:color w:val="auto"/>
        </w:rPr>
        <w:t>(US$27.1 million) in 2020, which was mainly due to an increase in the impairment loss recognized for the older generation trade-in kiosks that could no longer meet our operation needs by RMB6.4 million (US$1.0 million), and a one-off compensation of RMB40.1 million (US$6.1 million) we paid to certain management resigned in 2020, which was calculated based on their years of service and past contribution to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content expenses</w:t>
      </w:r>
    </w:p>
    <w:p>
      <w:pPr>
        <w:spacing w:after="0" w:line="126"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technology and content expenses increased by 6.1% from RMB142.9 million in 2019 to RMB151.5 million (US$23.1 million) in 2020, which was mainly attributable to an increase in staff compensation and the amortization expenses of the technology and platform acquired as part of Paipai.</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Our other operating income increased from RMB21.4 million in 2019 to RMB29.4 million (US$4.5 million) in 2020, which was mainly attributable to an increase in government subsidies.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26"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As a result of the foregoing, we incurred RMB458.8 million (US$70.0 million) of loss from operations in 2020, as compared to RMB731.8 million in 2019.</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We had interest expense of RMB12.4 million and RMB21.1 million (US$3.2 million) in 2019 and 2020, respectively. The increase was primarily attributable to an increase in short-term borrowings to support our business expansion.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We had interest income of RMB7.8 million and RMB9.3 million (US$1.4 million) in 2019 and 2020, respectively. The increase was primarily attributable to an increase of our cash balance.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26"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Our other income, net was RMB3.6 million in 2019. Our other loss, net was RMB39.9 million (US$6.1 million) in 2020. The loss we suffered in 2020 was primarily attributable to foreign exchange losses arising from the depreciation of Renminbi against U.S. dollar.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benefits</w:t>
      </w:r>
    </w:p>
    <w:p>
      <w:pPr>
        <w:spacing w:after="0" w:line="126" w:lineRule="exact"/>
        <w:rPr>
          <w:sz w:val="20"/>
          <w:szCs w:val="20"/>
          <w:color w:val="auto"/>
        </w:rPr>
      </w:pPr>
    </w:p>
    <w:p>
      <w:pPr>
        <w:jc w:val="both"/>
        <w:ind w:left="120" w:right="740" w:firstLine="551"/>
        <w:spacing w:after="0"/>
        <w:rPr>
          <w:sz w:val="20"/>
          <w:szCs w:val="20"/>
          <w:color w:val="auto"/>
        </w:rPr>
      </w:pPr>
      <w:r>
        <w:rPr>
          <w:rFonts w:ascii="Arial" w:cs="Arial" w:eastAsia="Arial" w:hAnsi="Arial"/>
          <w:sz w:val="18"/>
          <w:szCs w:val="18"/>
          <w:color w:val="auto"/>
        </w:rPr>
        <w:t>We had income tax benefits of RMB30.1 million and RMB47.3 million (US$7.2 million) in 2019 and 2020, respectively. The difference was primarily attributable to amortization of deferred tax liability associated with the intangible assets recognized in the acquisition of Paipai.</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of loss in equity method investments</w:t>
      </w:r>
    </w:p>
    <w:p>
      <w:pPr>
        <w:spacing w:after="0" w:line="126" w:lineRule="exact"/>
        <w:rPr>
          <w:sz w:val="20"/>
          <w:szCs w:val="20"/>
          <w:color w:val="auto"/>
        </w:rPr>
      </w:pPr>
    </w:p>
    <w:p>
      <w:pPr>
        <w:ind w:left="120" w:right="500" w:firstLine="551"/>
        <w:spacing w:after="0" w:line="246" w:lineRule="auto"/>
        <w:rPr>
          <w:sz w:val="20"/>
          <w:szCs w:val="20"/>
          <w:color w:val="auto"/>
        </w:rPr>
      </w:pPr>
      <w:r>
        <w:rPr>
          <w:rFonts w:ascii="Arial" w:cs="Arial" w:eastAsia="Arial" w:hAnsi="Arial"/>
          <w:sz w:val="18"/>
          <w:szCs w:val="18"/>
          <w:color w:val="auto"/>
        </w:rPr>
        <w:t>We had share of loss in equity method investments of RMB2.2 million and RMB7.5 million (US$1.1 million) in 2019 and 2020, respectively. The difference was primarily attributable to losses of equity method investments.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foregoing, our net loss was RMB470.6 million (US$71.8 million) in 2020, as compared to RMB704.9 million in</w:t>
      </w:r>
    </w:p>
    <w:p>
      <w:pPr>
        <w:ind w:left="120"/>
        <w:spacing w:after="0"/>
        <w:rPr>
          <w:sz w:val="20"/>
          <w:szCs w:val="20"/>
          <w:color w:val="auto"/>
        </w:rPr>
      </w:pPr>
      <w:r>
        <w:rPr>
          <w:rFonts w:ascii="Arial" w:cs="Arial" w:eastAsia="Arial" w:hAnsi="Arial"/>
          <w:sz w:val="18"/>
          <w:szCs w:val="18"/>
          <w:color w:val="auto"/>
        </w:rPr>
        <w:t>2019.</w:t>
      </w:r>
    </w:p>
    <w:p>
      <w:pPr>
        <w:spacing w:after="0" w:line="298" w:lineRule="exact"/>
        <w:rPr>
          <w:sz w:val="20"/>
          <w:szCs w:val="20"/>
          <w:color w:val="auto"/>
        </w:rPr>
      </w:pPr>
    </w:p>
    <w:p>
      <w:pPr>
        <w:ind w:left="120" w:right="4480"/>
        <w:spacing w:after="0" w:line="372" w:lineRule="auto"/>
        <w:rPr>
          <w:sz w:val="20"/>
          <w:szCs w:val="20"/>
          <w:color w:val="auto"/>
        </w:rPr>
      </w:pPr>
      <w:r>
        <w:rPr>
          <w:rFonts w:ascii="Arial" w:cs="Arial" w:eastAsia="Arial" w:hAnsi="Arial"/>
          <w:sz w:val="18"/>
          <w:szCs w:val="18"/>
          <w:b w:val="1"/>
          <w:bCs w:val="1"/>
          <w:i w:val="1"/>
          <w:iCs w:val="1"/>
          <w:color w:val="auto"/>
        </w:rPr>
        <w:t>Year Ended December 31, 2019 Compared to Year Ended December 31, 2018 Net revenues</w:t>
      </w:r>
    </w:p>
    <w:p>
      <w:pPr>
        <w:spacing w:after="0" w:line="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net revenues, which consisted of net product revenues and net service revenues, increased by 20.6% from RMB3,261.5 million in 2018 to RMB3,931.9 million in 2019. Our GMV has grown by 114.0% from RMB5.7 billion in 2018 to RMB12.2 billion in 2019. The number of consumer products transacted increased from 6.9 million in 2018 to 15.9 million in 2019.</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40" w:hanging="224"/>
        <w:spacing w:after="0" w:line="238"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product revenues. Our net product revenues increased by 14.8% from RMB3,249.9 million in 2018 to RMB3,730.2 million in 2019. This increase was attributable to the increase in our transaction volume. As our business developed, we opened more AHS stores and further strengthened our collaboration with JD Group by expanding into new channels of sales of consumer electronics through our new trade-in services, thereby generating more product sales. Our GMV for product sales has grown rapidly by 18.2% from RMB3.3 billion in 2018 to RMB3.9 billion in 2019.</w:t>
      </w:r>
    </w:p>
    <w:p>
      <w:pPr>
        <w:spacing w:after="0" w:line="107"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service revenues. Our service revenues increased substantially from RMB11.6 million in 2018 to RMB201.7 million in 2019, primarily attributable to the acquisition of Paipai Marketplace in 2019 and the increased commissions we received through PJT Marketplace. Prior to 2019, as part of the strategy to expand our user base and promote our platform, we did not charge any commission for third party merchants’ transactions completed through PJT Marketplace. Our GMV for online marketplaces has grown rapidly by 245.8% from RMB2.4 billion in 2018 to RMB8.3 billion in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costs</w:t>
      </w:r>
    </w:p>
    <w:p>
      <w:pPr>
        <w:spacing w:after="0" w:line="12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Our merchandise costs increased by 13.4% from RMB2,801.4 million in 2018 to RMB3,176.4 million in 2019, primarily attributable to the increase in purchase price of products from RMB2,651.6 million in 2018 to RMB3,052.6 million in 2019, which was driven by the growth of product sales.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Fulfillment expenses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Our fulfillment expenses increased by 85.9% from RMB354.0 million in 2018 to RMB658.1 million in 2019, which was mainly due to increases in expenses to support our growth and drive long-term operational efficiencies, including expenses incurred to hire more personnel, increase the number of AHS stores and expand our operations overseas. Our personnel related expenses increased from RMB158.1 million in 2018 to RMB356.0 million in 2019. The number of our self-operated AHS stores increased from 298 as of December 31, 2018 to 538 as of December 31, 2019,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selling and marketing expenses increased by 138.6% from RMB237.6 million in 2018 to RMB566.8 million in 2019, which was mainly due to of an increase in the marketing and selling related amortization expenses from RMB23.7 million in 2018 to RMB193.2 million in 2019. We acquired Paipai from JD Group in June 2019. As a result, we incurred amortization expense of brand names arising from the acquisition of Paipai business from June 2019 to December 2019. The increase in selling and marketing expenses also arose from the sales commission we paid to JD Group under our business cooperation agreement with JD Group. We paid JD Group a sales commission related to traffic acquisition and sourcing of pre-owned devices and recorded such payments in selling and marketing expenses. The sales commission was RMB54.7 million in 2019. In addition, our personnel related costs increased from RMB70.7 million in 2018 to RMB125.9 million in 2019 as a result of the expansion of our selling and marketing teams.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6" w:lineRule="exact"/>
        <w:rPr>
          <w:sz w:val="20"/>
          <w:szCs w:val="20"/>
          <w:color w:val="auto"/>
        </w:rPr>
      </w:pPr>
    </w:p>
    <w:p>
      <w:pPr>
        <w:ind w:left="120" w:right="200" w:firstLine="551"/>
        <w:spacing w:after="0" w:line="257" w:lineRule="auto"/>
        <w:rPr>
          <w:sz w:val="20"/>
          <w:szCs w:val="20"/>
          <w:color w:val="auto"/>
        </w:rPr>
      </w:pPr>
      <w:r>
        <w:rPr>
          <w:rFonts w:ascii="Arial" w:cs="Arial" w:eastAsia="Arial" w:hAnsi="Arial"/>
          <w:sz w:val="17"/>
          <w:szCs w:val="17"/>
          <w:color w:val="auto"/>
        </w:rPr>
        <w:t>Our general and administrative expenses increased by 74.0% from RMB81.0 million in 2018 to RMB140.9 million in 2019, mainly due to the expansion of our administrative team, which resulted in significant increases in personnel costs, office rental and depreciation expenses, and to a lesser degree, allowance for doubtful accounts. Our salary and personnel related expenses increased by RMB33.4 million from 2018 to 2019. In addition, our rental and depreciation expenses increased by RMB9.6 million from 2018 to 2019.</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content expenses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technology and content expenses increased by 117.2% from RMB65.8 million in 2018 to RMB142.9 million in 2019. The increase was mainly attributable to an increase in personnel expenses required to support the growth of our business as we launched new innovations and improved functionality on our platform. The payroll and related expenses for technology and content employees increased from RMB58.0 million in 2018 to RMB132.7 million in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26"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Our other operating income was RMB21.4 million in 2019, as compared to RMB21.7 million in 2018, mainly attributable to change in government subsidies.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foregoing, we incurred RMB731.8 million of loss from operations in 2019, as compared to RMB256.5 million in</w:t>
      </w:r>
    </w:p>
    <w:p>
      <w:pPr>
        <w:ind w:left="120"/>
        <w:spacing w:after="0"/>
        <w:rPr>
          <w:sz w:val="20"/>
          <w:szCs w:val="20"/>
          <w:color w:val="auto"/>
        </w:rPr>
      </w:pPr>
      <w:r>
        <w:rPr>
          <w:rFonts w:ascii="Arial" w:cs="Arial" w:eastAsia="Arial" w:hAnsi="Arial"/>
          <w:sz w:val="18"/>
          <w:szCs w:val="18"/>
          <w:color w:val="auto"/>
        </w:rPr>
        <w:t>2018.</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6"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We had interest expense of RMB6.5 million and RMB12.4 million in 2018 and 2019, respectively. The increase was primarily attributable to an increase in short-term loans we borrowed to support our business expansion and daily operations.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6" w:lineRule="exact"/>
        <w:rPr>
          <w:sz w:val="20"/>
          <w:szCs w:val="20"/>
          <w:color w:val="auto"/>
        </w:rPr>
      </w:pPr>
    </w:p>
    <w:p>
      <w:pPr>
        <w:ind w:left="120" w:right="700" w:firstLine="551"/>
        <w:spacing w:after="0" w:line="246" w:lineRule="auto"/>
        <w:rPr>
          <w:sz w:val="20"/>
          <w:szCs w:val="20"/>
          <w:color w:val="auto"/>
        </w:rPr>
      </w:pPr>
      <w:r>
        <w:rPr>
          <w:rFonts w:ascii="Arial" w:cs="Arial" w:eastAsia="Arial" w:hAnsi="Arial"/>
          <w:sz w:val="18"/>
          <w:szCs w:val="18"/>
          <w:color w:val="auto"/>
        </w:rPr>
        <w:t>We had interest income of RMB8.3 million and RMB7.8 million in 2018 and 2019, respectively. The decrease was primarily attributable to a decline in our bank deposits.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had other income of RMB21.6 million in 2018 and RMB3.6 million in 2019. The difference was mainly attributable to foreign exchange losses.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benefits</w:t>
      </w:r>
    </w:p>
    <w:p>
      <w:pPr>
        <w:spacing w:after="0" w:line="126" w:lineRule="exact"/>
        <w:rPr>
          <w:sz w:val="20"/>
          <w:szCs w:val="20"/>
          <w:color w:val="auto"/>
        </w:rPr>
      </w:pPr>
    </w:p>
    <w:p>
      <w:pPr>
        <w:ind w:left="120" w:right="220" w:firstLine="551"/>
        <w:spacing w:after="0" w:line="246" w:lineRule="auto"/>
        <w:rPr>
          <w:sz w:val="20"/>
          <w:szCs w:val="20"/>
          <w:color w:val="auto"/>
        </w:rPr>
      </w:pPr>
      <w:r>
        <w:rPr>
          <w:rFonts w:ascii="Arial" w:cs="Arial" w:eastAsia="Arial" w:hAnsi="Arial"/>
          <w:sz w:val="18"/>
          <w:szCs w:val="18"/>
          <w:color w:val="auto"/>
        </w:rPr>
        <w:t>We had income tax benefits of RMB1.9 million and RMB30.1 million in 2018 and 2019, respectively. The difference was primarily attributable to amortization of deferred tax liability associated with the intangible assets recognized in the acquisition of Paipai.</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of loss in equity method investments</w:t>
      </w:r>
    </w:p>
    <w:p>
      <w:pPr>
        <w:spacing w:after="0" w:line="126"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Our share of loss in equity method investments increased from RMB0.5 million in 2018 to RMB2.2 million in 2019, which was mainly due to the losses picked up in equity method investments.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change in warrant liabilities</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recorded a fair value change in warrant liabilities of RMB23.8 million in 2018 due to the issuance of convertible redeemable preferred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foregoing, our net loss was RMB704.9 million in 2019, as compared to RMB207.9 million in 2018.</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following table sets forth our unaudited consolidated quarterly results of operations for the periods indicated. You should read the following table in conjunction with our consolidated financial statements and the related notes included elsewhere in this prospectus. We have prepared this unaudited condensed consolidated quarterly financial data on the same basis as we have prepared our audited consolidated financial statements. The unaudited condensed consolidated quarterly financial data includes all adjustments, consisting only of normal and recurring adjustments, that our management considered necessary for a fair statement of our financial position and operating results for the quarters presented.</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32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3"/>
                <w:szCs w:val="13"/>
                <w:b w:val="1"/>
                <w:bCs w:val="1"/>
                <w:color w:val="auto"/>
                <w:w w:val="98"/>
              </w:rPr>
              <w:t>For the Three Months Ended</w:t>
            </w: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07"/>
        </w:trPr>
        <w:tc>
          <w:tcPr>
            <w:tcW w:w="3280" w:type="dxa"/>
            <w:vAlign w:val="bottom"/>
          </w:tcPr>
          <w:p>
            <w:pPr>
              <w:spacing w:after="0"/>
              <w:rPr>
                <w:sz w:val="9"/>
                <w:szCs w:val="9"/>
                <w:color w:val="auto"/>
              </w:rPr>
            </w:pPr>
          </w:p>
        </w:tc>
        <w:tc>
          <w:tcPr>
            <w:tcW w:w="880" w:type="dxa"/>
            <w:vAlign w:val="bottom"/>
            <w:gridSpan w:val="2"/>
          </w:tcPr>
          <w:p>
            <w:pPr>
              <w:jc w:val="right"/>
              <w:ind w:right="280"/>
              <w:spacing w:after="0" w:line="107" w:lineRule="exact"/>
              <w:rPr>
                <w:sz w:val="20"/>
                <w:szCs w:val="20"/>
                <w:color w:val="auto"/>
              </w:rPr>
            </w:pPr>
            <w:r>
              <w:rPr>
                <w:rFonts w:ascii="Arial" w:cs="Arial" w:eastAsia="Arial" w:hAnsi="Arial"/>
                <w:sz w:val="12"/>
                <w:szCs w:val="12"/>
                <w:b w:val="1"/>
                <w:bCs w:val="1"/>
                <w:color w:val="auto"/>
              </w:rPr>
              <w:t>June 30,</w:t>
            </w:r>
          </w:p>
        </w:tc>
        <w:tc>
          <w:tcPr>
            <w:tcW w:w="1080" w:type="dxa"/>
            <w:vAlign w:val="bottom"/>
            <w:gridSpan w:val="2"/>
          </w:tcPr>
          <w:p>
            <w:pPr>
              <w:jc w:val="right"/>
              <w:ind w:right="200"/>
              <w:spacing w:after="0" w:line="107" w:lineRule="exact"/>
              <w:rPr>
                <w:sz w:val="20"/>
                <w:szCs w:val="20"/>
                <w:color w:val="auto"/>
              </w:rPr>
            </w:pPr>
            <w:r>
              <w:rPr>
                <w:rFonts w:ascii="Arial" w:cs="Arial" w:eastAsia="Arial" w:hAnsi="Arial"/>
                <w:sz w:val="12"/>
                <w:szCs w:val="12"/>
                <w:b w:val="1"/>
                <w:bCs w:val="1"/>
                <w:color w:val="auto"/>
              </w:rPr>
              <w:t>September 30,</w:t>
            </w:r>
          </w:p>
        </w:tc>
        <w:tc>
          <w:tcPr>
            <w:tcW w:w="960" w:type="dxa"/>
            <w:vAlign w:val="bottom"/>
            <w:gridSpan w:val="2"/>
          </w:tcPr>
          <w:p>
            <w:pPr>
              <w:jc w:val="right"/>
              <w:ind w:right="100"/>
              <w:spacing w:after="0" w:line="107"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9"/>
                <w:szCs w:val="9"/>
                <w:color w:val="auto"/>
              </w:rPr>
            </w:pPr>
          </w:p>
        </w:tc>
        <w:tc>
          <w:tcPr>
            <w:tcW w:w="800" w:type="dxa"/>
            <w:vAlign w:val="bottom"/>
            <w:gridSpan w:val="2"/>
          </w:tcPr>
          <w:p>
            <w:pPr>
              <w:jc w:val="right"/>
              <w:ind w:right="200"/>
              <w:spacing w:after="0" w:line="107" w:lineRule="exact"/>
              <w:rPr>
                <w:sz w:val="20"/>
                <w:szCs w:val="20"/>
                <w:color w:val="auto"/>
              </w:rPr>
            </w:pPr>
            <w:r>
              <w:rPr>
                <w:rFonts w:ascii="Arial" w:cs="Arial" w:eastAsia="Arial" w:hAnsi="Arial"/>
                <w:sz w:val="12"/>
                <w:szCs w:val="12"/>
                <w:b w:val="1"/>
                <w:bCs w:val="1"/>
                <w:color w:val="auto"/>
              </w:rPr>
              <w:t>March 31,</w:t>
            </w:r>
          </w:p>
        </w:tc>
        <w:tc>
          <w:tcPr>
            <w:tcW w:w="880" w:type="dxa"/>
            <w:vAlign w:val="bottom"/>
            <w:gridSpan w:val="2"/>
          </w:tcPr>
          <w:p>
            <w:pPr>
              <w:jc w:val="right"/>
              <w:ind w:right="280"/>
              <w:spacing w:after="0" w:line="107" w:lineRule="exact"/>
              <w:rPr>
                <w:sz w:val="20"/>
                <w:szCs w:val="20"/>
                <w:color w:val="auto"/>
              </w:rPr>
            </w:pPr>
            <w:r>
              <w:rPr>
                <w:rFonts w:ascii="Arial" w:cs="Arial" w:eastAsia="Arial" w:hAnsi="Arial"/>
                <w:sz w:val="12"/>
                <w:szCs w:val="12"/>
                <w:b w:val="1"/>
                <w:bCs w:val="1"/>
                <w:color w:val="auto"/>
              </w:rPr>
              <w:t>June 30,</w:t>
            </w:r>
          </w:p>
        </w:tc>
        <w:tc>
          <w:tcPr>
            <w:tcW w:w="1120" w:type="dxa"/>
            <w:vAlign w:val="bottom"/>
            <w:gridSpan w:val="2"/>
          </w:tcPr>
          <w:p>
            <w:pPr>
              <w:jc w:val="right"/>
              <w:ind w:right="220"/>
              <w:spacing w:after="0" w:line="107" w:lineRule="exact"/>
              <w:rPr>
                <w:sz w:val="20"/>
                <w:szCs w:val="20"/>
                <w:color w:val="auto"/>
              </w:rPr>
            </w:pPr>
            <w:r>
              <w:rPr>
                <w:rFonts w:ascii="Arial" w:cs="Arial" w:eastAsia="Arial" w:hAnsi="Arial"/>
                <w:sz w:val="12"/>
                <w:szCs w:val="12"/>
                <w:b w:val="1"/>
                <w:bCs w:val="1"/>
                <w:color w:val="auto"/>
              </w:rPr>
              <w:t>September 30,</w:t>
            </w:r>
          </w:p>
        </w:tc>
        <w:tc>
          <w:tcPr>
            <w:tcW w:w="1080" w:type="dxa"/>
            <w:vAlign w:val="bottom"/>
            <w:gridSpan w:val="2"/>
          </w:tcPr>
          <w:p>
            <w:pPr>
              <w:jc w:val="right"/>
              <w:ind w:right="220"/>
              <w:spacing w:after="0" w:line="107" w:lineRule="exact"/>
              <w:rPr>
                <w:sz w:val="20"/>
                <w:szCs w:val="20"/>
                <w:color w:val="auto"/>
              </w:rPr>
            </w:pPr>
            <w:r>
              <w:rPr>
                <w:rFonts w:ascii="Arial" w:cs="Arial" w:eastAsia="Arial" w:hAnsi="Arial"/>
                <w:sz w:val="12"/>
                <w:szCs w:val="12"/>
                <w:b w:val="1"/>
                <w:bCs w:val="1"/>
                <w:color w:val="auto"/>
              </w:rPr>
              <w:t>December 31,</w:t>
            </w:r>
          </w:p>
        </w:tc>
        <w:tc>
          <w:tcPr>
            <w:tcW w:w="72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March 31,</w:t>
            </w:r>
          </w:p>
        </w:tc>
        <w:tc>
          <w:tcPr>
            <w:tcW w:w="100" w:type="dxa"/>
            <w:vAlign w:val="bottom"/>
          </w:tcPr>
          <w:p>
            <w:pPr>
              <w:spacing w:after="0"/>
              <w:rPr>
                <w:sz w:val="9"/>
                <w:szCs w:val="9"/>
                <w:color w:val="auto"/>
              </w:rPr>
            </w:pPr>
          </w:p>
        </w:tc>
      </w:tr>
      <w:tr>
        <w:trPr>
          <w:trHeight w:val="157"/>
        </w:trPr>
        <w:tc>
          <w:tcPr>
            <w:tcW w:w="3280" w:type="dxa"/>
            <w:vAlign w:val="bottom"/>
          </w:tcPr>
          <w:p>
            <w:pPr>
              <w:spacing w:after="0"/>
              <w:rPr>
                <w:sz w:val="13"/>
                <w:szCs w:val="13"/>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42"/>
        </w:trPr>
        <w:tc>
          <w:tcPr>
            <w:tcW w:w="3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right"/>
              <w:ind w:right="300"/>
              <w:spacing w:after="0" w:line="142" w:lineRule="exact"/>
              <w:rPr>
                <w:sz w:val="20"/>
                <w:szCs w:val="20"/>
                <w:color w:val="auto"/>
              </w:rPr>
            </w:pPr>
            <w:r>
              <w:rPr>
                <w:rFonts w:ascii="Arial" w:cs="Arial" w:eastAsia="Arial" w:hAnsi="Arial"/>
                <w:sz w:val="13"/>
                <w:szCs w:val="13"/>
                <w:b w:val="1"/>
                <w:bCs w:val="1"/>
                <w:color w:val="auto"/>
              </w:rPr>
              <w:t>(RMB in thousands)</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Revenues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Net product revenues</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910,059</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922,540</w:t>
            </w:r>
          </w:p>
        </w:tc>
        <w:tc>
          <w:tcPr>
            <w:tcW w:w="180" w:type="dxa"/>
            <w:vAlign w:val="bottom"/>
          </w:tcPr>
          <w:p>
            <w:pPr>
              <w:spacing w:after="0"/>
              <w:rPr>
                <w:sz w:val="11"/>
                <w:szCs w:val="11"/>
                <w:color w:val="auto"/>
              </w:rPr>
            </w:pP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1,082,604</w:t>
            </w:r>
          </w:p>
        </w:tc>
        <w:tc>
          <w:tcPr>
            <w:tcW w:w="9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606,103</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1,047,248</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1,148,354</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1,442,318</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1,310,547</w:t>
            </w: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service revenues</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19,798</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66,490</w:t>
            </w: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108,092</w:t>
            </w:r>
          </w:p>
        </w:tc>
        <w:tc>
          <w:tcPr>
            <w:tcW w:w="9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86,109</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148,564</w:t>
            </w:r>
          </w:p>
        </w:tc>
        <w:tc>
          <w:tcPr>
            <w:tcW w:w="1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177,733</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201,770</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203,884</w:t>
            </w:r>
          </w:p>
        </w:tc>
        <w:tc>
          <w:tcPr>
            <w:tcW w:w="100" w:type="dxa"/>
            <w:vAlign w:val="bottom"/>
            <w:shd w:val="clear" w:color="auto" w:fill="CCEEFF"/>
          </w:tcPr>
          <w:p>
            <w:pPr>
              <w:spacing w:after="0"/>
              <w:rPr>
                <w:sz w:val="11"/>
                <w:szCs w:val="11"/>
                <w:color w:val="auto"/>
              </w:rPr>
            </w:pP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3"/>
                <w:szCs w:val="13"/>
                <w:b w:val="1"/>
                <w:bCs w:val="1"/>
                <w:color w:val="auto"/>
              </w:rPr>
              <w:t>Total net revenues</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929,857</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989,030</w:t>
            </w:r>
          </w:p>
        </w:tc>
        <w:tc>
          <w:tcPr>
            <w:tcW w:w="18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1,190,696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692,212</w:t>
            </w:r>
          </w:p>
        </w:tc>
        <w:tc>
          <w:tcPr>
            <w:tcW w:w="18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1,195,812</w:t>
            </w:r>
          </w:p>
        </w:tc>
        <w:tc>
          <w:tcPr>
            <w:tcW w:w="18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1,326,087</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1,644,088</w:t>
            </w:r>
          </w:p>
        </w:tc>
        <w:tc>
          <w:tcPr>
            <w:tcW w:w="18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1,514,431</w:t>
            </w:r>
          </w:p>
        </w:tc>
        <w:tc>
          <w:tcPr>
            <w:tcW w:w="100" w:type="dxa"/>
            <w:vAlign w:val="bottom"/>
          </w:tcPr>
          <w:p>
            <w:pPr>
              <w:spacing w:after="0"/>
              <w:rPr>
                <w:sz w:val="12"/>
                <w:szCs w:val="1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Operating expenses</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Merchandise costs</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(775,329)</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(788,063)</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(925,177)</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(500,800)</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(889,469)</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(983,703)</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(1,236,462)</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(1,095,696)</w:t>
            </w: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Fulfillment expenses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(157,775)</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(179,495)</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(185,877)</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(157,954)</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(149,391)</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(169,062)</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(189,910)</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(223,019)</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Selling expenses</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(112,490)</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(198,397)</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(180,893)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(144,150)</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(197,305)</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(187,126)</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(211,961)</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(222,580)</w:t>
            </w: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General and administrative expenses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(32,285)</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(55,777)</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(28,624)</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(53,900)</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(44,758)</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(42,120)</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(36,764)</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(29,408)</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Technology and content expenses</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(29,691)</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(38,550)</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(46,483)</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(40,165)</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(33,524)</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(38,096)</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(39,751)</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(55,499)</w:t>
            </w:r>
          </w:p>
        </w:tc>
      </w:tr>
      <w:tr>
        <w:trPr>
          <w:trHeight w:val="27"/>
        </w:trPr>
        <w:tc>
          <w:tcPr>
            <w:tcW w:w="3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operating expenses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(1,107,570)</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(1,260,282)</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(1,367,054)</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(896,969)</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(1,314,447)</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(1,420,107)</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(1,714,848)</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(1,626,202)</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Other operating income</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15,026</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810</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4,884</w:t>
            </w:r>
          </w:p>
        </w:tc>
        <w:tc>
          <w:tcPr>
            <w:tcW w:w="9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5,811</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2,661</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9,272</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11,651</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361</w:t>
            </w:r>
          </w:p>
        </w:tc>
      </w:tr>
      <w:tr>
        <w:trPr>
          <w:trHeight w:val="27"/>
        </w:trPr>
        <w:tc>
          <w:tcPr>
            <w:tcW w:w="3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Loss from operations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(162,687)</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(270,442)</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(171,474)</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(198,946)</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(115,974)</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(84,748)</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(59,109)</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(111,410)</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Interest expense</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(2,747)</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(3,767)</w:t>
            </w:r>
          </w:p>
        </w:tc>
        <w:tc>
          <w:tcPr>
            <w:tcW w:w="9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(3,509)</w:t>
            </w:r>
          </w:p>
        </w:tc>
        <w:tc>
          <w:tcPr>
            <w:tcW w:w="9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(3,535)</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(7,604)</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(4,738)</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(5,213)</w:t>
            </w:r>
          </w:p>
        </w:tc>
        <w:tc>
          <w:tcPr>
            <w:tcW w:w="8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(6,552)</w:t>
            </w: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income</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1,974</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1,791</w:t>
            </w: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1,670</w:t>
            </w:r>
          </w:p>
        </w:tc>
        <w:tc>
          <w:tcPr>
            <w:tcW w:w="92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1,910</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5,360</w:t>
            </w:r>
          </w:p>
        </w:tc>
        <w:tc>
          <w:tcPr>
            <w:tcW w:w="11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971</w:t>
            </w:r>
          </w:p>
        </w:tc>
        <w:tc>
          <w:tcPr>
            <w:tcW w:w="10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1,080</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3,420</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Other income (loss), net</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(1,880)</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7,240</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4,427</w:t>
            </w:r>
          </w:p>
        </w:tc>
        <w:tc>
          <w:tcPr>
            <w:tcW w:w="9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6,559</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846</w:t>
            </w:r>
          </w:p>
        </w:tc>
        <w:tc>
          <w:tcPr>
            <w:tcW w:w="11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(16,125)</w:t>
            </w:r>
          </w:p>
        </w:tc>
        <w:tc>
          <w:tcPr>
            <w:tcW w:w="10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(31,146)</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914</w:t>
            </w:r>
          </w:p>
        </w:tc>
      </w:tr>
      <w:tr>
        <w:trPr>
          <w:trHeight w:val="27"/>
        </w:trPr>
        <w:tc>
          <w:tcPr>
            <w:tcW w:w="3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Loss before taxes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b w:val="1"/>
                <w:bCs w:val="1"/>
                <w:color w:val="auto"/>
              </w:rPr>
              <w:t>(165,340)</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(265,178)</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b w:val="1"/>
                <w:bCs w:val="1"/>
                <w:color w:val="auto"/>
              </w:rPr>
              <w:t>(168,886)</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(194,012)</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(117,372)</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(104,640)</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b w:val="1"/>
                <w:bCs w:val="1"/>
                <w:color w:val="auto"/>
              </w:rPr>
              <w:t>(94,388)</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b w:val="1"/>
                <w:bCs w:val="1"/>
                <w:color w:val="auto"/>
              </w:rPr>
              <w:t>(113,628)</w:t>
            </w:r>
          </w:p>
        </w:tc>
      </w:tr>
      <w:tr>
        <w:trPr>
          <w:trHeight w:val="135"/>
        </w:trPr>
        <w:tc>
          <w:tcPr>
            <w:tcW w:w="3280" w:type="dxa"/>
            <w:vAlign w:val="bottom"/>
          </w:tcPr>
          <w:p>
            <w:pPr>
              <w:spacing w:after="0" w:line="135" w:lineRule="exact"/>
              <w:rPr>
                <w:sz w:val="20"/>
                <w:szCs w:val="20"/>
                <w:color w:val="auto"/>
              </w:rPr>
            </w:pPr>
            <w:r>
              <w:rPr>
                <w:rFonts w:ascii="Arial" w:cs="Arial" w:eastAsia="Arial" w:hAnsi="Arial"/>
                <w:sz w:val="13"/>
                <w:szCs w:val="13"/>
                <w:color w:val="auto"/>
              </w:rPr>
              <w:t>Income tax benefits</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4,611</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12,381</w:t>
            </w:r>
          </w:p>
        </w:tc>
        <w:tc>
          <w:tcPr>
            <w:tcW w:w="9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12,403</w:t>
            </w:r>
          </w:p>
        </w:tc>
        <w:tc>
          <w:tcPr>
            <w:tcW w:w="92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12,028</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11,915</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11,689</w:t>
            </w:r>
          </w:p>
        </w:tc>
        <w:tc>
          <w:tcPr>
            <w:tcW w:w="10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11,688</w:t>
            </w: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19,459</w:t>
            </w:r>
          </w:p>
        </w:tc>
      </w:tr>
      <w:tr>
        <w:trPr>
          <w:trHeight w:val="135"/>
        </w:trPr>
        <w:tc>
          <w:tcPr>
            <w:tcW w:w="3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 of loss in equity method investments</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(2,749)</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(1,277)</w:t>
            </w:r>
          </w:p>
        </w:tc>
        <w:tc>
          <w:tcPr>
            <w:tcW w:w="9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(651)</w:t>
            </w:r>
          </w:p>
        </w:tc>
        <w:tc>
          <w:tcPr>
            <w:tcW w:w="9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(4,281)</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(1,801)</w:t>
            </w:r>
          </w:p>
        </w:tc>
        <w:tc>
          <w:tcPr>
            <w:tcW w:w="11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(1,268)</w:t>
            </w:r>
          </w:p>
        </w:tc>
        <w:tc>
          <w:tcPr>
            <w:tcW w:w="10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(176)</w:t>
            </w:r>
          </w:p>
        </w:tc>
        <w:tc>
          <w:tcPr>
            <w:tcW w:w="8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(612)</w:t>
            </w:r>
          </w:p>
        </w:tc>
      </w:tr>
      <w:tr>
        <w:trPr>
          <w:trHeight w:val="142"/>
        </w:trPr>
        <w:tc>
          <w:tcPr>
            <w:tcW w:w="3280" w:type="dxa"/>
            <w:vAlign w:val="bottom"/>
          </w:tcPr>
          <w:p>
            <w:pPr>
              <w:spacing w:after="0" w:line="142" w:lineRule="exact"/>
              <w:rPr>
                <w:sz w:val="20"/>
                <w:szCs w:val="20"/>
                <w:color w:val="auto"/>
              </w:rPr>
            </w:pPr>
            <w:r>
              <w:rPr>
                <w:rFonts w:ascii="Arial" w:cs="Arial" w:eastAsia="Arial" w:hAnsi="Arial"/>
                <w:sz w:val="13"/>
                <w:szCs w:val="13"/>
                <w:b w:val="1"/>
                <w:bCs w:val="1"/>
                <w:color w:val="auto"/>
              </w:rPr>
              <w:t>Net loss</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(163,478)</w:t>
            </w:r>
          </w:p>
        </w:tc>
        <w:tc>
          <w:tcPr>
            <w:tcW w:w="2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(254,074)</w:t>
            </w:r>
          </w:p>
        </w:tc>
        <w:tc>
          <w:tcPr>
            <w:tcW w:w="1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(157,134)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(186,265)</w:t>
            </w:r>
          </w:p>
        </w:tc>
        <w:tc>
          <w:tcPr>
            <w:tcW w:w="1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(107,258)</w:t>
            </w:r>
          </w:p>
        </w:tc>
        <w:tc>
          <w:tcPr>
            <w:tcW w:w="1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(94,219)</w:t>
            </w:r>
          </w:p>
        </w:tc>
        <w:tc>
          <w:tcPr>
            <w:tcW w:w="1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(82,876)</w:t>
            </w: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(94,781)</w:t>
            </w:r>
          </w:p>
        </w:tc>
        <w:tc>
          <w:tcPr>
            <w:tcW w:w="100" w:type="dxa"/>
            <w:vAlign w:val="bottom"/>
          </w:tcPr>
          <w:p>
            <w:pPr>
              <w:spacing w:after="0"/>
              <w:rPr>
                <w:sz w:val="12"/>
                <w:szCs w:val="12"/>
                <w:color w:val="auto"/>
              </w:rPr>
            </w:pPr>
          </w:p>
        </w:tc>
      </w:tr>
      <w:tr>
        <w:trPr>
          <w:trHeight w:val="20"/>
        </w:trPr>
        <w:tc>
          <w:tcPr>
            <w:tcW w:w="3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generated from non-core operations was RMB140.3 million, RMB109.2 million, RMB114.0 million, RMB55.1 million,</w:t>
      </w:r>
    </w:p>
    <w:p>
      <w:pPr>
        <w:ind w:left="120"/>
        <w:spacing w:after="0" w:line="234" w:lineRule="auto"/>
        <w:rPr>
          <w:sz w:val="20"/>
          <w:szCs w:val="20"/>
          <w:color w:val="auto"/>
        </w:rPr>
      </w:pPr>
      <w:r>
        <w:rPr>
          <w:rFonts w:ascii="Arial" w:cs="Arial" w:eastAsia="Arial" w:hAnsi="Arial"/>
          <w:sz w:val="18"/>
          <w:szCs w:val="18"/>
          <w:color w:val="auto"/>
        </w:rPr>
        <w:t>RMB46.4 million, RMB28.4 million, RMB19.3 million and RMB12.5 million in the three months ended June 30, 2019, September 30, 2019,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March 31, 2020, June 30, 2020, September 30, 2020, December 31, 2020 and March 31, 2021, respectively.</w:t>
      </w:r>
    </w:p>
    <w:p>
      <w:pPr>
        <w:spacing w:after="0" w:line="21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Our results of operations are subject to seasonal fluctuations in market conditions primarily as a result of new product launches by consumer electronics brands and promotional campaigns by e-commerce platforms in China. For example, the timing and success of new product launches by major consumer electronics manufacturers tend to have an impact on our customer traffic and purchase orders. In addition, we generally experience higher customer traffic and purchase orders during e-commerce platforms’ special promotional campaigns around June 18 and November 11 each year. Overall, the historical seasonality of our business has been relatively mild, but the seasonal trends that we have experienced in the past may not be indicative of our future operating results. See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also “Risk Factors—Risks Related to Our Business and Industry—Our results of operations may be subject to seasonal fluctuations.”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26"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To date, we have financed our operating and investing activities mainly though historical equity and debt financing activities. As of March 31, 2021, we had RMB657.2 million (US$100.3 million) in cash and cash equivalents, of which 43.6% were held in Renminbi, 38.9% were held in U.S. dollar, and the remainder was primarily held in Hong Kong dollars.</w:t>
      </w:r>
    </w:p>
    <w:p>
      <w:pPr>
        <w:spacing w:after="0" w:line="20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In April and May 2021, we issued a total of 9,777,383 Series F preferred shares to certain investors for an aggregate consideration of US dollar equivalent of RMB1.2 billion.</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We believe our cash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 As of the date of this prospectus, we have not identified any specific targets for investments or acquisitions.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r>
        <w:rPr>
          <w:rFonts w:ascii="Arial" w:cs="Arial" w:eastAsia="Arial" w:hAnsi="Arial"/>
          <w:sz w:val="18"/>
          <w:szCs w:val="18"/>
          <w:i w:val="1"/>
          <w:iCs w:val="1"/>
          <w:color w:val="auto"/>
        </w:rPr>
        <w:t>.</w:t>
      </w:r>
    </w:p>
    <w:p>
      <w:pPr>
        <w:spacing w:after="0" w:line="208"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Although we consolidate the results of our VIEs, we only have access to the assets or earnings of our VIEs through our contractual arrangements with our VIEs and its shareholders (as applicable). See “Corporate History and Structure.” For restrictions and limitations on liquidity and capital resources as a result of our corporate structure, see “—Holding Company Structure.”</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expect that a substantial majority of our future revenues will be denominated in RMB. Under existing PRC foreign exchange regulations, payments of current account items, including profit distributions, interest payments and trade and service-related foreign exchange transactions, can be made in foreign currencies without prior SAFE approval as long as certain procedural requirements are fulfilled. Therefore, our PRC subsidiaries are allowed to pay dividends in foreign currencies to us without prior SAFE approval by following certain procedural requirements. However, current PRC regulations permit our PRC subsidiaries to pay dividends to us only out of their accumulated profits, if any, determined in accordance with Chinese accounting standards and regulations. Our PRC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Historically, our PRC subsidiaries have not paid dividends to us, and they will not be able to pay dividends until they generate accumulated profits. Furthermore, capital account transactions, which include foreign direct investment and loans, must be approved by and/or registered or filed with SAFE, its local branches and/or certain local banks (as applicable).</w:t>
      </w:r>
    </w:p>
    <w:p>
      <w:pPr>
        <w:spacing w:after="0" w:line="205" w:lineRule="exact"/>
        <w:rPr>
          <w:sz w:val="20"/>
          <w:szCs w:val="20"/>
          <w:color w:val="auto"/>
        </w:rPr>
      </w:pPr>
    </w:p>
    <w:p>
      <w:pPr>
        <w:ind w:left="120" w:right="240" w:firstLine="551"/>
        <w:spacing w:after="0" w:line="261" w:lineRule="auto"/>
        <w:rPr>
          <w:sz w:val="20"/>
          <w:szCs w:val="20"/>
          <w:color w:val="auto"/>
        </w:rPr>
      </w:pPr>
      <w:r>
        <w:rPr>
          <w:rFonts w:ascii="Arial" w:cs="Arial" w:eastAsia="Arial" w:hAnsi="Arial"/>
          <w:sz w:val="17"/>
          <w:szCs w:val="17"/>
          <w:color w:val="auto"/>
        </w:rPr>
        <w:t>As a Cayman Islands exempted company and offshore holding company, we are permitted under PRC laws and regulations to provide funding to our PRC subsidiaries and our VIEs in China only through loans or capital contributions, subject to relevant approval, filing and/or reporting with respect to government authorities and limits on the amount of capital contributions and loans. This may delay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us from using the proceeds from this offering to make loans or capital contributions to our PRC subsidiaries and our VIEs. We expect to invest substantially all of the proceeds from this offering into our PRC operations for general corporate purposes within the business scopes of our PRC subsidiaries and our VIE. See “Risk Factors—Risks Relating to Doing Business in China—PRC regulation of loans to and direct investment in PRC entities by offshore holding companies and governmental control of currency conversion may delay or prevent us from using the proceeds of this offering to make loans or additional capital contributions to our PRC subsidiaries and our VIEs in China, which could materially and adversely affect our liquidity and our ability to fund and expand our business.”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movements of our cash flows for the periods presented: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For the Three Months</w:t>
            </w:r>
          </w:p>
        </w:tc>
      </w:tr>
      <w:tr>
        <w:trPr>
          <w:trHeight w:val="175"/>
        </w:trPr>
        <w:tc>
          <w:tcPr>
            <w:tcW w:w="4960" w:type="dxa"/>
            <w:vAlign w:val="bottom"/>
          </w:tcPr>
          <w:p>
            <w:pPr>
              <w:spacing w:after="0"/>
              <w:rPr>
                <w:sz w:val="15"/>
                <w:szCs w:val="15"/>
                <w:color w:val="auto"/>
              </w:rPr>
            </w:pPr>
          </w:p>
        </w:tc>
        <w:tc>
          <w:tcPr>
            <w:tcW w:w="3460" w:type="dxa"/>
            <w:vAlign w:val="bottom"/>
            <w:gridSpan w:val="7"/>
          </w:tcPr>
          <w:p>
            <w:pPr>
              <w:ind w:left="480"/>
              <w:spacing w:after="0"/>
              <w:rPr>
                <w:sz w:val="20"/>
                <w:szCs w:val="20"/>
                <w:color w:val="auto"/>
              </w:rPr>
            </w:pPr>
            <w:r>
              <w:rPr>
                <w:rFonts w:ascii="Arial" w:cs="Arial" w:eastAsia="Arial" w:hAnsi="Arial"/>
                <w:sz w:val="14"/>
                <w:szCs w:val="14"/>
                <w:b w:val="1"/>
                <w:bCs w:val="1"/>
                <w:color w:val="auto"/>
              </w:rPr>
              <w:t>For the Year Ended December 31,</w:t>
            </w:r>
          </w:p>
        </w:tc>
        <w:tc>
          <w:tcPr>
            <w:tcW w:w="1900" w:type="dxa"/>
            <w:vAlign w:val="bottom"/>
            <w:gridSpan w:val="5"/>
          </w:tcPr>
          <w:p>
            <w:pPr>
              <w:jc w:val="center"/>
              <w:ind w:left="488"/>
              <w:spacing w:after="0"/>
              <w:rPr>
                <w:sz w:val="20"/>
                <w:szCs w:val="20"/>
                <w:color w:val="auto"/>
              </w:rPr>
            </w:pPr>
            <w:r>
              <w:rPr>
                <w:rFonts w:ascii="Arial" w:cs="Arial" w:eastAsia="Arial" w:hAnsi="Arial"/>
                <w:sz w:val="14"/>
                <w:szCs w:val="14"/>
                <w:b w:val="1"/>
                <w:bCs w:val="1"/>
                <w:color w:val="auto"/>
              </w:rPr>
              <w:t>Ended March 31,</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96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4960" w:type="dxa"/>
            <w:vAlign w:val="bottom"/>
          </w:tcPr>
          <w:p>
            <w:pPr>
              <w:spacing w:after="0"/>
              <w:rPr>
                <w:sz w:val="13"/>
                <w:szCs w:val="13"/>
                <w:color w:val="auto"/>
              </w:rPr>
            </w:pPr>
          </w:p>
        </w:tc>
        <w:tc>
          <w:tcPr>
            <w:tcW w:w="66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3"/>
                <w:szCs w:val="13"/>
                <w:color w:val="auto"/>
              </w:rPr>
            </w:pPr>
          </w:p>
        </w:tc>
        <w:tc>
          <w:tcPr>
            <w:tcW w:w="68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3"/>
                <w:szCs w:val="13"/>
                <w:color w:val="auto"/>
              </w:rPr>
            </w:pPr>
          </w:p>
        </w:tc>
        <w:tc>
          <w:tcPr>
            <w:tcW w:w="960" w:type="dxa"/>
            <w:vAlign w:val="bottom"/>
          </w:tcPr>
          <w:p>
            <w:pPr>
              <w:jc w:val="right"/>
              <w:ind w:right="368"/>
              <w:spacing w:after="0" w:line="155" w:lineRule="exact"/>
              <w:rPr>
                <w:sz w:val="20"/>
                <w:szCs w:val="20"/>
                <w:color w:val="auto"/>
              </w:rPr>
            </w:pPr>
            <w:r>
              <w:rPr>
                <w:rFonts w:ascii="Arial" w:cs="Arial" w:eastAsia="Arial" w:hAnsi="Arial"/>
                <w:sz w:val="14"/>
                <w:szCs w:val="14"/>
                <w:b w:val="1"/>
                <w:bCs w:val="1"/>
                <w:color w:val="auto"/>
              </w:rPr>
              <w:t>RMB</w:t>
            </w:r>
          </w:p>
        </w:tc>
        <w:tc>
          <w:tcPr>
            <w:tcW w:w="56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3"/>
                <w:szCs w:val="13"/>
                <w:color w:val="auto"/>
              </w:rPr>
            </w:pPr>
          </w:p>
        </w:tc>
        <w:tc>
          <w:tcPr>
            <w:tcW w:w="68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000" w:type="dxa"/>
            <w:vAlign w:val="bottom"/>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RMB</w:t>
            </w:r>
          </w:p>
        </w:tc>
        <w:tc>
          <w:tcPr>
            <w:tcW w:w="580" w:type="dxa"/>
            <w:vAlign w:val="bottom"/>
          </w:tcPr>
          <w:p>
            <w:pPr>
              <w:jc w:val="right"/>
              <w:ind w:right="128"/>
              <w:spacing w:after="0" w:line="155" w:lineRule="exact"/>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3"/>
                <w:szCs w:val="13"/>
                <w:color w:val="auto"/>
              </w:rPr>
            </w:pPr>
          </w:p>
        </w:tc>
      </w:tr>
      <w:tr>
        <w:trPr>
          <w:trHeight w:val="155"/>
        </w:trPr>
        <w:tc>
          <w:tcPr>
            <w:tcW w:w="49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right"/>
              <w:ind w:right="508"/>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operating activities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(358,022)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(410,794)</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(412,868)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(63,016)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(203,109)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(302,526)</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(46,174)</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Net cash (used in)/provided by investing activities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(109,267)</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(304,349)</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18,625</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2,843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7,788</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86,845</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13,255</w:t>
            </w: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Net cash provided by financing activities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904,022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455,751</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929,962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141,940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86,977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(44,103)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(6,731)</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33,179</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4,515</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(28,426)</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(4,339)</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2,008</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2,731</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417</w:t>
            </w: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Net increase/(decrease) in cash, cash equivalents and restricted cash</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469,912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(254,877)</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507,293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77,428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(106,336)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(257,053)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(39,234)</w:t>
            </w:r>
          </w:p>
        </w:tc>
      </w:tr>
      <w:tr>
        <w:trPr>
          <w:trHeight w:val="162"/>
        </w:trPr>
        <w:tc>
          <w:tcPr>
            <w:tcW w:w="4960" w:type="dxa"/>
            <w:vAlign w:val="bottom"/>
          </w:tcPr>
          <w:p>
            <w:pPr>
              <w:spacing w:after="0"/>
              <w:rPr>
                <w:sz w:val="20"/>
                <w:szCs w:val="20"/>
                <w:color w:val="auto"/>
              </w:rPr>
            </w:pPr>
            <w:r>
              <w:rPr>
                <w:rFonts w:ascii="Arial" w:cs="Arial" w:eastAsia="Arial" w:hAnsi="Arial"/>
                <w:sz w:val="14"/>
                <w:szCs w:val="14"/>
                <w:color w:val="auto"/>
              </w:rPr>
              <w:t>Cash, cash equivalents and restricted cash at the beginning of the year</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196,048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665,960</w:t>
            </w:r>
          </w:p>
        </w:tc>
        <w:tc>
          <w:tcPr>
            <w:tcW w:w="960" w:type="dxa"/>
            <w:vAlign w:val="bottom"/>
          </w:tcPr>
          <w:p>
            <w:pPr>
              <w:jc w:val="right"/>
              <w:ind w:right="188"/>
              <w:spacing w:after="0"/>
              <w:rPr>
                <w:sz w:val="20"/>
                <w:szCs w:val="20"/>
                <w:color w:val="auto"/>
              </w:rPr>
            </w:pPr>
            <w:r>
              <w:rPr>
                <w:rFonts w:ascii="Arial" w:cs="Arial" w:eastAsia="Arial" w:hAnsi="Arial"/>
                <w:sz w:val="14"/>
                <w:szCs w:val="14"/>
                <w:color w:val="auto"/>
              </w:rPr>
              <w:t>411,083</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62,744</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411,083</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918,376</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140,172</w:t>
            </w:r>
          </w:p>
        </w:tc>
      </w:tr>
      <w:tr>
        <w:trPr>
          <w:trHeight w:val="162"/>
        </w:trPr>
        <w:tc>
          <w:tcPr>
            <w:tcW w:w="496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the end of the year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665,960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411,083</w:t>
            </w:r>
          </w:p>
        </w:tc>
        <w:tc>
          <w:tcPr>
            <w:tcW w:w="9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918,376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140,172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304,747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661,323</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100,938</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Net cash used in operating activities in the three months ended March 31, 2021 was RMB302.5 million (US$46.2 million). The difference between our net cash used in operating activities and our net loss of RMB94.8 million (US$14.5 million) in the three months ended March 31, 2021 was primarily the result of changes in working capital items, including the increase in prepayments and other receivables of RMB251.1 million (US$38.3 million) and the increase in inventories of RMB140.8 million (US$21.5 million), partially offset by the decrease in funds receivable from third party payment service providers of RMB45.4 million (US$6.9 million) and non-cash items, mainly depreciation and amortization of RMB86.9 million (US$13.3 million). Prepayments and other receivables mainly relates to customer deposits, which grew in line with the expansion of our platform. Inventories increased in support of the growth in our transaction volume, indicated by the growth of our GMV for product sales from RMB0.6 billion in the three months ended March 31, 2020 to RMB1.4 billion (US$0.2 billion) in the three months ended March 31, 2021.</w:t>
      </w:r>
    </w:p>
    <w:p>
      <w:pPr>
        <w:spacing w:after="0" w:line="207" w:lineRule="exact"/>
        <w:rPr>
          <w:sz w:val="20"/>
          <w:szCs w:val="20"/>
          <w:color w:val="auto"/>
        </w:rPr>
      </w:pPr>
    </w:p>
    <w:p>
      <w:pPr>
        <w:ind w:left="120" w:right="40" w:firstLine="551"/>
        <w:spacing w:after="0" w:line="234" w:lineRule="auto"/>
        <w:rPr>
          <w:sz w:val="20"/>
          <w:szCs w:val="20"/>
          <w:color w:val="auto"/>
        </w:rPr>
      </w:pPr>
      <w:r>
        <w:rPr>
          <w:rFonts w:ascii="Arial" w:cs="Arial" w:eastAsia="Arial" w:hAnsi="Arial"/>
          <w:sz w:val="18"/>
          <w:szCs w:val="18"/>
          <w:color w:val="auto"/>
        </w:rPr>
        <w:t>Net cash used in operating activities in 2020 was RMB412.9 million (US$63.0 million). The difference between our net cash used in operating activities and our net loss of RMB470.6 million (US$71.8 million) in 2020 was primarily the result of adding back non-cash items, mainly depreciation and amortization of RMB360.8 million (US$55.1 million), as well as changes in working capital items, including the increase in inventories of RMB111.4 million (US$17.0 million), offset by increase in prepayments and other receivables of</w:t>
      </w:r>
    </w:p>
    <w:p>
      <w:pPr>
        <w:spacing w:after="0" w:line="3"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RMB123.5 million (US$18.8 million). Inventories increased in support of the growth in our transaction volume, indicated by the growth of our GMV for product sales from RMB3.9 billion in 2019 to RMB4.6 billion (US$0.7 billion) in 2020. Prepayments and other receivables mainly relates to customer deposits, which grew in line with the expansion of our platform.</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Net cash used in operating activities in 2019 was RMB410.8 million. The difference between our net cash used in operating activities and our net loss of RMB704.9 million in 2019 was primarily the result of adding back non-cash items, mainly depreciation and amortization of RMB234.7 million, as well as an increase in amount due from related parties of RMB84.4 million, which mainly relates to an increase in collection for JD Group and an increase in prepaid expenses for Yuekun.</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Net cash used in operating activities in 2018 was RMB358.0 million. The difference between our net cash used in operating activities and net loss of RMB207.9 million in 2018 was primarily an increase in prepayments and other receivables of RMB65.8 million, funds receivable from third party payment service provider of RMB46.4 million, decrease in accrued expenses and other current liabilities of RMB40.3 million, as well as increase in payroll and welfare of RMB40.6 million. Prepayments and other receivables mainly relates to customer deposits, which grew in line with the expansion of our platform. Funds receivable from third party payment service provider mainly relates to funds deposited in third-party payment institutions due to business needs.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Cash provided by investing activities in the three months ended March 31, 2021 was RMB86.8 million (US$13.3 million), consisting primarily of proceeds from short-term investments of RMB343.7 million (US$ 52.5 million) and repayment for extended loan to related parties of RMB72.2 million (US$11.0 million), partially offset by purchases of short-term investments of RMB246.1 million (US$37.6 million) and loan to related parties of RMB69.4 million (US$10.6 million).</w:t>
      </w:r>
    </w:p>
    <w:p>
      <w:pPr>
        <w:spacing w:after="0" w:line="205"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Cash provided by investing activities in 2020 was RMB18.6 million (US$2.8 million), consisting primarily of repayment for loan to related parties of RMB178.7 million (US$27.3 million) and proceeds from short-term investments of RMB125.6 million (US$19.2 million) and, partially offset by loan to related parties of RMB140.7 million (US$21.5 million) and purchases of short-term investments of RMB99.8 million (US$15.2 million).</w:t>
      </w:r>
    </w:p>
    <w:p>
      <w:pPr>
        <w:spacing w:after="0" w:line="205" w:lineRule="exact"/>
        <w:rPr>
          <w:sz w:val="20"/>
          <w:szCs w:val="20"/>
          <w:color w:val="auto"/>
        </w:rPr>
      </w:pPr>
    </w:p>
    <w:p>
      <w:pPr>
        <w:ind w:left="120" w:right="440" w:firstLine="551"/>
        <w:spacing w:after="0" w:line="246" w:lineRule="auto"/>
        <w:rPr>
          <w:sz w:val="20"/>
          <w:szCs w:val="20"/>
          <w:color w:val="auto"/>
        </w:rPr>
      </w:pPr>
      <w:r>
        <w:rPr>
          <w:rFonts w:ascii="Arial" w:cs="Arial" w:eastAsia="Arial" w:hAnsi="Arial"/>
          <w:sz w:val="18"/>
          <w:szCs w:val="18"/>
          <w:color w:val="auto"/>
        </w:rPr>
        <w:t>Cash used in investing activities in 2019 was RMB304.3 million, consisting primarily of purchases of short-term investments of RMB120.9 million, purchase of property and equipment of RMB103.3 million and loan to related parties of RMB164.0 million.</w:t>
      </w:r>
    </w:p>
    <w:p>
      <w:pPr>
        <w:spacing w:after="0" w:line="197"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Cash used in investing activities in 2018 was RMB109.3 million, consisting primarily of purchase of property and equipment of RMB64.3 million and payment for investments in equity investees of RMB46.4 million.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26" w:lineRule="exact"/>
        <w:rPr>
          <w:sz w:val="20"/>
          <w:szCs w:val="20"/>
          <w:color w:val="auto"/>
        </w:rPr>
      </w:pPr>
    </w:p>
    <w:p>
      <w:pPr>
        <w:jc w:val="both"/>
        <w:ind w:left="120" w:right="500" w:firstLine="551"/>
        <w:spacing w:after="0"/>
        <w:rPr>
          <w:sz w:val="20"/>
          <w:szCs w:val="20"/>
          <w:color w:val="auto"/>
        </w:rPr>
      </w:pPr>
      <w:r>
        <w:rPr>
          <w:rFonts w:ascii="Arial" w:cs="Arial" w:eastAsia="Arial" w:hAnsi="Arial"/>
          <w:sz w:val="18"/>
          <w:szCs w:val="18"/>
          <w:color w:val="auto"/>
        </w:rPr>
        <w:t>Cash used in financing activities in the three months ended March 31, 2021 was RMB44.1 million (US$6.7 million), consisting primarily of repayments of short-term borrowings of RMB152.5 million (US$23.3 million), partially offset by proceeds from short-term borrowings of RMB124.0 million (US$18.9 million).</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Cash provided by financing activities in 2020 was RMB930.0 million (US$141.9 million), consisting primarily of proceeds from short-term borrowings of RMB764.1 million (US$116.6 million), proceeds from the issuance of convertible redeemable preferred shares of RMB512.7 million (US$78.3 million) and proceeds from the issuance of bonds and convertible bonds of RMB185.0 million (US$28.2 million), partially offset by repayments of short-term borrowings of RMB595.1 million (US$90.8 million).</w:t>
      </w:r>
    </w:p>
    <w:p>
      <w:pPr>
        <w:spacing w:after="0" w:line="205" w:lineRule="exact"/>
        <w:rPr>
          <w:sz w:val="20"/>
          <w:szCs w:val="20"/>
          <w:color w:val="auto"/>
        </w:rPr>
      </w:pPr>
    </w:p>
    <w:p>
      <w:pPr>
        <w:ind w:left="120" w:right="780" w:firstLine="551"/>
        <w:spacing w:after="0" w:line="246" w:lineRule="auto"/>
        <w:rPr>
          <w:sz w:val="20"/>
          <w:szCs w:val="20"/>
          <w:color w:val="auto"/>
        </w:rPr>
      </w:pPr>
      <w:r>
        <w:rPr>
          <w:rFonts w:ascii="Arial" w:cs="Arial" w:eastAsia="Arial" w:hAnsi="Arial"/>
          <w:sz w:val="18"/>
          <w:szCs w:val="18"/>
          <w:color w:val="auto"/>
        </w:rPr>
        <w:t>Cash provided by financing activities in 2019 was RMB455.8 million, consisting primarily of proceeds from the issuance of convertible redeemable preferred shares of RMB469.6 million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proceeds from short-term borrowings of RMB376.4 million, partially offset by repayment for short-term borrowings of RMB348.4 million.</w:t>
      </w:r>
    </w:p>
    <w:p>
      <w:pPr>
        <w:spacing w:after="0" w:line="212"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Cash provided by financing activities in 2018 was RMB904.0 million, consisting primarily of proceeds from the issuance of convertible redeemable preferred shares of RMB980.0 million and proceeds from short-term borrowings of RMB240.0 million, partially offset by repayment for short-term borrowings of RMB172.4 million and repayment of convertible bonds to a related party of RMB98.7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23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Our capital expenditures consist primarily of purchase of property and equipment. Our capital expenditures were RMB64.3 million, RMB103.3 million and RMB37.8 million (US$5.8 million) in 2018, 2019 and 2020, respectively. We also incurred capital expenditures of RMB4.8 million (US$728.5 thousand) in the three months ended March 31, 2021. We intend to fund our future capital expenditures with our existing cash balance and proceeds from this offering. We will continue to make well-planned capital expenditures to meet the expected growth of our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contractual obligations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For the Year Ended December 31,</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jc w:val="right"/>
              <w:ind w:right="139"/>
              <w:spacing w:after="0" w:line="143" w:lineRule="exact"/>
              <w:rPr>
                <w:sz w:val="20"/>
                <w:szCs w:val="20"/>
                <w:color w:val="auto"/>
              </w:rPr>
            </w:pPr>
            <w:r>
              <w:rPr>
                <w:rFonts w:ascii="Arial" w:cs="Arial" w:eastAsia="Arial" w:hAnsi="Arial"/>
                <w:sz w:val="14"/>
                <w:szCs w:val="14"/>
                <w:b w:val="1"/>
                <w:bCs w:val="1"/>
                <w:color w:val="auto"/>
              </w:rPr>
              <w:t>Less than</w:t>
            </w: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r>
      <w:tr>
        <w:trPr>
          <w:trHeight w:val="175"/>
        </w:trPr>
        <w:tc>
          <w:tcPr>
            <w:tcW w:w="6120" w:type="dxa"/>
            <w:vAlign w:val="bottom"/>
          </w:tcPr>
          <w:p>
            <w:pPr>
              <w:spacing w:after="0"/>
              <w:rPr>
                <w:sz w:val="15"/>
                <w:szCs w:val="15"/>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jc w:val="right"/>
              <w:ind w:right="259"/>
              <w:spacing w:after="0"/>
              <w:rPr>
                <w:sz w:val="20"/>
                <w:szCs w:val="20"/>
                <w:color w:val="auto"/>
              </w:rPr>
            </w:pPr>
            <w:r>
              <w:rPr>
                <w:rFonts w:ascii="Arial" w:cs="Arial" w:eastAsia="Arial" w:hAnsi="Arial"/>
                <w:sz w:val="14"/>
                <w:szCs w:val="14"/>
                <w:b w:val="1"/>
                <w:bCs w:val="1"/>
                <w:color w:val="auto"/>
              </w:rPr>
              <w:t>1 year</w:t>
            </w: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1-3 years</w:t>
            </w: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3-5 years</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5 years</w:t>
            </w:r>
          </w:p>
        </w:tc>
      </w:tr>
      <w:tr>
        <w:trPr>
          <w:trHeight w:val="155"/>
        </w:trPr>
        <w:tc>
          <w:tcPr>
            <w:tcW w:w="612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(RMB in thousands)</w:t>
            </w:r>
          </w:p>
        </w:tc>
        <w:tc>
          <w:tcPr>
            <w:tcW w:w="8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17,407</w:t>
            </w:r>
          </w:p>
        </w:tc>
        <w:tc>
          <w:tcPr>
            <w:tcW w:w="1080" w:type="dxa"/>
            <w:vAlign w:val="bottom"/>
            <w:shd w:val="clear" w:color="auto" w:fill="CCEEFF"/>
          </w:tcPr>
          <w:p>
            <w:pPr>
              <w:jc w:val="right"/>
              <w:ind w:right="119"/>
              <w:spacing w:after="0" w:line="202" w:lineRule="exact"/>
              <w:rPr>
                <w:sz w:val="20"/>
                <w:szCs w:val="20"/>
                <w:color w:val="auto"/>
              </w:rPr>
            </w:pPr>
            <w:r>
              <w:rPr>
                <w:rFonts w:ascii="Arial" w:cs="Arial" w:eastAsia="Arial" w:hAnsi="Arial"/>
                <w:sz w:val="18"/>
                <w:szCs w:val="18"/>
                <w:color w:val="auto"/>
              </w:rPr>
              <w:t>9,808</w:t>
            </w:r>
          </w:p>
        </w:tc>
        <w:tc>
          <w:tcPr>
            <w:tcW w:w="114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7,599</w:t>
            </w:r>
          </w:p>
        </w:tc>
        <w:tc>
          <w:tcPr>
            <w:tcW w:w="8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Short-term borrowings</w:t>
            </w:r>
          </w:p>
        </w:tc>
        <w:tc>
          <w:tcPr>
            <w:tcW w:w="90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369,657</w:t>
            </w:r>
          </w:p>
        </w:tc>
        <w:tc>
          <w:tcPr>
            <w:tcW w:w="1080" w:type="dxa"/>
            <w:vAlign w:val="bottom"/>
          </w:tcPr>
          <w:p>
            <w:pPr>
              <w:jc w:val="right"/>
              <w:ind w:right="119"/>
              <w:spacing w:after="0" w:line="202" w:lineRule="exact"/>
              <w:rPr>
                <w:sz w:val="20"/>
                <w:szCs w:val="20"/>
                <w:color w:val="auto"/>
              </w:rPr>
            </w:pPr>
            <w:r>
              <w:rPr>
                <w:rFonts w:ascii="Arial" w:cs="Arial" w:eastAsia="Arial" w:hAnsi="Arial"/>
                <w:sz w:val="18"/>
                <w:szCs w:val="18"/>
                <w:color w:val="auto"/>
              </w:rPr>
              <w:t>369,657</w:t>
            </w:r>
          </w:p>
        </w:tc>
        <w:tc>
          <w:tcPr>
            <w:tcW w:w="1140" w:type="dxa"/>
            <w:vAlign w:val="bottom"/>
          </w:tcPr>
          <w:p>
            <w:pPr>
              <w:jc w:val="right"/>
              <w:ind w:right="354"/>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borrowings</w:t>
            </w:r>
          </w:p>
        </w:tc>
        <w:tc>
          <w:tcPr>
            <w:tcW w:w="90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32,624</w:t>
            </w:r>
          </w:p>
        </w:tc>
        <w:tc>
          <w:tcPr>
            <w:tcW w:w="1080" w:type="dxa"/>
            <w:vAlign w:val="bottom"/>
            <w:shd w:val="clear" w:color="auto" w:fill="CCEEFF"/>
          </w:tcPr>
          <w:p>
            <w:pPr>
              <w:jc w:val="right"/>
              <w:ind w:right="219"/>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4"/>
              <w:spacing w:after="0" w:line="202" w:lineRule="exact"/>
              <w:rPr>
                <w:sz w:val="20"/>
                <w:szCs w:val="20"/>
                <w:color w:val="auto"/>
              </w:rPr>
            </w:pPr>
            <w:r>
              <w:rPr>
                <w:rFonts w:ascii="Arial" w:cs="Arial" w:eastAsia="Arial" w:hAnsi="Arial"/>
                <w:sz w:val="18"/>
                <w:szCs w:val="18"/>
                <w:color w:val="auto"/>
              </w:rPr>
              <w:t>32,624</w:t>
            </w:r>
          </w:p>
        </w:tc>
        <w:tc>
          <w:tcPr>
            <w:tcW w:w="84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17"/>
        </w:trPr>
        <w:tc>
          <w:tcPr>
            <w:tcW w:w="6120" w:type="dxa"/>
            <w:vAlign w:val="bottom"/>
          </w:tcPr>
          <w:p>
            <w:pPr>
              <w:spacing w:after="0"/>
              <w:rPr>
                <w:sz w:val="20"/>
                <w:szCs w:val="20"/>
                <w:color w:val="auto"/>
              </w:rPr>
            </w:pPr>
            <w:r>
              <w:rPr>
                <w:rFonts w:ascii="Arial" w:cs="Arial" w:eastAsia="Arial" w:hAnsi="Arial"/>
                <w:sz w:val="18"/>
                <w:szCs w:val="18"/>
                <w:color w:val="auto"/>
              </w:rPr>
              <w:t>Convertible bonds</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160,000</w:t>
            </w:r>
          </w:p>
        </w:tc>
        <w:tc>
          <w:tcPr>
            <w:tcW w:w="1080" w:type="dxa"/>
            <w:vAlign w:val="bottom"/>
          </w:tcPr>
          <w:p>
            <w:pPr>
              <w:jc w:val="right"/>
              <w:ind w:right="119"/>
              <w:spacing w:after="0"/>
              <w:rPr>
                <w:sz w:val="20"/>
                <w:szCs w:val="20"/>
                <w:color w:val="auto"/>
              </w:rPr>
            </w:pPr>
            <w:r>
              <w:rPr>
                <w:rFonts w:ascii="Arial" w:cs="Arial" w:eastAsia="Arial" w:hAnsi="Arial"/>
                <w:sz w:val="18"/>
                <w:szCs w:val="18"/>
                <w:color w:val="auto"/>
              </w:rPr>
              <w:t>160,000</w:t>
            </w:r>
          </w:p>
        </w:tc>
        <w:tc>
          <w:tcPr>
            <w:tcW w:w="1140" w:type="dxa"/>
            <w:vAlign w:val="bottom"/>
          </w:tcPr>
          <w:p>
            <w:pPr>
              <w:jc w:val="right"/>
              <w:ind w:right="354"/>
              <w:spacing w:after="0"/>
              <w:rPr>
                <w:sz w:val="20"/>
                <w:szCs w:val="20"/>
                <w:color w:val="auto"/>
              </w:rPr>
            </w:pPr>
            <w:r>
              <w:rPr>
                <w:rFonts w:ascii="Arial" w:cs="Arial" w:eastAsia="Arial" w:hAnsi="Arial"/>
                <w:sz w:val="18"/>
                <w:szCs w:val="18"/>
                <w:color w:val="auto"/>
              </w:rPr>
              <w:t>—</w:t>
            </w:r>
          </w:p>
        </w:tc>
        <w:tc>
          <w:tcPr>
            <w:tcW w:w="840" w:type="dxa"/>
            <w:vAlign w:val="bottom"/>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Notes:</w:t>
      </w:r>
    </w:p>
    <w:p>
      <w:pPr>
        <w:spacing w:after="0" w:line="1"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Operating lease obligations consist of the obligations under the lease agreements covering our stores and offices facilities.</w:t>
      </w:r>
    </w:p>
    <w:p>
      <w:pPr>
        <w:spacing w:after="0" w:line="211" w:lineRule="exact"/>
        <w:rPr>
          <w:sz w:val="20"/>
          <w:szCs w:val="20"/>
          <w:color w:val="auto"/>
        </w:rPr>
      </w:pPr>
    </w:p>
    <w:p>
      <w:pPr>
        <w:ind w:left="120" w:right="900" w:firstLine="551"/>
        <w:spacing w:after="0" w:line="246" w:lineRule="auto"/>
        <w:rPr>
          <w:sz w:val="20"/>
          <w:szCs w:val="20"/>
          <w:color w:val="auto"/>
        </w:rPr>
      </w:pPr>
      <w:r>
        <w:rPr>
          <w:rFonts w:ascii="Arial" w:cs="Arial" w:eastAsia="Arial" w:hAnsi="Arial"/>
          <w:sz w:val="18"/>
          <w:szCs w:val="18"/>
          <w:color w:val="auto"/>
        </w:rPr>
        <w:t>Except for those disclosed above, we did not have any significant capital or other commitments, long-term obligations, or guarantees as of December 31, 2020.</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234"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4" w:lineRule="exact"/>
        <w:rPr>
          <w:sz w:val="20"/>
          <w:szCs w:val="20"/>
          <w:color w:val="auto"/>
        </w:rPr>
      </w:pPr>
    </w:p>
    <w:p>
      <w:pPr>
        <w:ind w:left="120" w:right="660" w:firstLine="551"/>
        <w:spacing w:after="0" w:line="246"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we address our internal control over financial reporting. In connection with</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audit of our consolidated financial statements as of and for the fiscal year ended December 31, 2018, 2019 and 2020, we and our independent registered public accounting firm identified one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202"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material weakness identified is our company’s lack of sufficient skilled staff with U.S. GAAP knowledge for the purpose of financial reporting, and lack of formal accounting policies, and procedures manual to ensure proper financial reporting to comply with U.S. GAAP and SEC requirements. The material weakness,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2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Following the identification of the material weakness and other significant control deficiencies, we have taken measures and plan to continue to take measures to remediate these deficiencies. We have hired a chief financial officer with extensive U.S. capital markets experience and an internal control senior director who is responsible to establish relevant standards and procedures for reporting under U.S. GAAP and SEC reporting requirements. We plan to hire more accounting personnel with appropriate experience in U.S. GAAP, financial reporting and internal control, and provide annual training for accounting personnel regarding U.S. GAAP and SEC financial reporting requirements.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206" w:lineRule="exact"/>
        <w:rPr>
          <w:sz w:val="20"/>
          <w:szCs w:val="20"/>
          <w:color w:val="auto"/>
        </w:rPr>
      </w:pPr>
    </w:p>
    <w:p>
      <w:pPr>
        <w:ind w:left="120" w:right="20" w:firstLine="551"/>
        <w:spacing w:after="0" w:line="253" w:lineRule="auto"/>
        <w:rPr>
          <w:sz w:val="20"/>
          <w:szCs w:val="20"/>
          <w:color w:val="auto"/>
        </w:rPr>
      </w:pPr>
      <w:r>
        <w:rPr>
          <w:rFonts w:ascii="Arial" w:cs="Arial" w:eastAsia="Arial" w:hAnsi="Arial"/>
          <w:sz w:val="17"/>
          <w:szCs w:val="17"/>
          <w:color w:val="auto"/>
        </w:rPr>
        <w:t>As a company with less than US$1.07 billion in revenues for the fiscal year ended December 31, 2020,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See “Risk Factors—Risks Related to Our Business and Industry—If we fail to develop and maintain an effective system of internal control over financial reporting, we may be unable to accurately report our financial results or prevent fraud.”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Holding Company Structure</w:t>
      </w:r>
    </w:p>
    <w:p>
      <w:pPr>
        <w:spacing w:after="0" w:line="234"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Our Company, AiHuiShou International Co. Ltd., is a holding company with no material operations of its own. We conduct our operations primarily through our WFOE and VIEs. As a result, AiHuiShou International Co. Ltd.’s ability to pay dividends depends upon dividends paid by our WFOE.</w:t>
      </w:r>
    </w:p>
    <w:p>
      <w:pPr>
        <w:spacing w:after="0" w:line="203"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If our WFOE or any newly formed PRC subsidiaries incur debt on their own behalf in the future, the instruments governing their debt may restrict their ability to pay dividends to us. In addition, our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WFOE are permitted to pay dividends to us only out of its retained earnings, if any, as determined in accordance with PRC accounting standards and regulations. Under PRC law, each of our WFOE and our VIEs is required to set aside at least 10% of its after-tax profits each year, if any, to fund certain statutory reserve funds until such reserve funds reach 50% of its registered capital. In addition to that, our WFOE may allocate a portion of its after-tax profits determined in accordance with applicable PRC accounting standards to enterprise expansion funds and staff bonus and welfare funds at its discretion, and our VIEs may allocate a portion of their after-tax profits determined in accordance with applicable PRC accounting standards to a discretionary surplus fund at its discretion. The statutory reserve funds and such discretionary funds are not distributable as cash dividends. Remittance of dividends by a wholly foreign-owned company out of China is subject to examination by the banks designated by SAFE. As of March 31, 2021, as our WFOE, all other PRC subsidiaries, our VIEs and the subsidiaries of our VIEs are all in an accumulated loss position, no statutory reserve was appropriated. Our WFOE has not paid dividends and will not be able to pay dividends until it generates accumulated profits and meets the requirements for statutory reserve funds.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Inflation</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To date, inflation in China has not materially impacted our results of operations. According to the National Bureau of Statistics of China, the year-over-year percent changes in the consumer price index for 2018, 2019 and 2020 were increases of 1.9%, 4.5% and 0.2%, respectively. Although we have not been materially affected by inflation in the past, we may be affected if China experiences higher rates of inflation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26"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We held 43.6% of our cash and cash equivalents in Renminbi, 38.9% in U.S. dollar, and the remainder primarily in Hong Kong dollars. Our overseas operations generate revenues primarily in U.S. dollars and Hong Kong dollars. Generally, a weakening of the RMB against the U.S. dollar has a positive effect on our results of operations, while a strengthening of the RMB against the U.S. dollar has the opposite effect. Our results of operations, including margins, are affected by the fluctuation in foreign exchange rates. We have entered into dual-currency deposits to help hedge our exposure to such risk and we monitor our currency risk exposure by periodically reviewing foreign currency exchange rates. Currently, we do not believe we experience any significant foreign exchange risk. However, the value of your investment in the ADSs will be affected by the exchange rate between U.S. dollar and RMB because the value of our business is effectively denominated in RMB, while the ADSs will be traded in U.S. dollars.</w:t>
      </w:r>
    </w:p>
    <w:p>
      <w:pPr>
        <w:spacing w:after="0" w:line="208" w:lineRule="exact"/>
        <w:rPr>
          <w:sz w:val="20"/>
          <w:szCs w:val="20"/>
          <w:color w:val="auto"/>
        </w:rPr>
      </w:pPr>
    </w:p>
    <w:p>
      <w:pPr>
        <w:jc w:val="both"/>
        <w:ind w:left="120" w:right="280" w:firstLine="551"/>
        <w:spacing w:after="0"/>
        <w:rPr>
          <w:sz w:val="20"/>
          <w:szCs w:val="20"/>
          <w:color w:val="auto"/>
        </w:rPr>
      </w:pPr>
      <w:r>
        <w:rPr>
          <w:rFonts w:ascii="Arial" w:cs="Arial" w:eastAsia="Arial" w:hAnsi="Arial"/>
          <w:sz w:val="18"/>
          <w:szCs w:val="18"/>
          <w:color w:val="auto"/>
        </w:rPr>
        <w:t>The conversion of RMB into foreign currencies, including U.S. dollars, is based on rates set by the People’s Bank of China. The RMB has fluctuated against the U.S. dollar, at times significantly and unpredictably. It is difficult to predict how market forces or PRC or U.S. government policy may impact the exchange rate between RMB and the U.S. dollar in the future.</w:t>
      </w:r>
    </w:p>
    <w:p>
      <w:pPr>
        <w:spacing w:after="0" w:line="20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To the extent that we need to convert U.S. dollars into RMB for our operations, appreciation of the RMB against the U.S. dollar would have an adverse effect on the RMB amount we receive from the conversion. Conversely, if we decide to convert RMB into U.S. dollars for the purpose of making payments for dividends on our ordinary shares or ADSs or for other business purposes, appreciation of the U.S. dollar against the RMB would have a negative effect on the U.S. dollar amounts available to us.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We are exposed to cash flow interest rate risk due to the fluctuation of the prevailing market interest rates on bank balances, restricted bank deposits, loan receivables and bank and other borrowings which carry at prevailing deposit interest rates or variable interest rates based on the interest rates quoted by the People’s Bank of China. We are also exposed to fair value interest rate risk that relates primarily to our fixed rate bank and other borrowings. We monitor fair value interest rate risk exposure by closely monitoring fair value interest rate risk profile and will consider hedging significant interest rate exposure should the need arise.</w:t>
      </w:r>
    </w:p>
    <w:p>
      <w:pPr>
        <w:spacing w:after="0" w:line="202"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market interest rates. We currently do not use any derivative contracts to hedge our exposure to interest rate risk. However, our future interest expenses may exceed expectations due to changes in market interest rates.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prepare our financial statements in conformity with U.S. GAAP, which requires us to make judgments, estimates and assumptions.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 Some of our accounting policies require a higher degree of judgment than others in their application and require us to make significant accounting estimates.</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following descriptions of critical accounting policies, judgments and estimates should be read in conjunction with our consolidated financial statements and accompanying notes and other disclosures included in this prospectus. When reviewing our financial statements, you should consider (i) our selection of critical accounting policies, (ii) the judgments and other uncertainties affecting the application of such policies and (iii) the sensitivity of reported results to changes in conditions and assumptions.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revenues are generated primarily from product revenue and service revenue through the platform we offer to our customers.</w:t>
      </w:r>
    </w:p>
    <w:p>
      <w:pPr>
        <w:ind w:left="120"/>
        <w:spacing w:after="0"/>
        <w:rPr>
          <w:sz w:val="20"/>
          <w:szCs w:val="20"/>
          <w:color w:val="auto"/>
        </w:rPr>
      </w:pPr>
      <w:r>
        <w:rPr>
          <w:rFonts w:ascii="Arial" w:cs="Arial" w:eastAsia="Arial" w:hAnsi="Arial"/>
          <w:sz w:val="18"/>
          <w:szCs w:val="18"/>
          <w:color w:val="auto"/>
        </w:rPr>
        <w:t>We also generate revenues from product sales through AHS stores we operate.</w:t>
      </w:r>
    </w:p>
    <w:p>
      <w:pPr>
        <w:spacing w:after="0" w:line="21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We adopted ASC 606 “Revenue from Contract with Customers” (“ASC606”) for all periods presented. According to ASC 606, revenue is recognized when control of the promised good or service is transferred to the customer in an amount that reflects the consideration we expect to receive in exchange for those goods or services, after considering estimated sales return allowances, price concessions, discount and value added tax (“VAT”). Consistent with the criteria of ASC 606, we follow five steps for our revenue recognition: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Product Revenue</w:t>
      </w:r>
    </w:p>
    <w:p>
      <w:pPr>
        <w:spacing w:after="0" w:line="126" w:lineRule="exact"/>
        <w:rPr>
          <w:sz w:val="20"/>
          <w:szCs w:val="20"/>
          <w:color w:val="auto"/>
        </w:rPr>
      </w:pPr>
    </w:p>
    <w:p>
      <w:pPr>
        <w:ind w:left="120" w:right="260" w:firstLine="551"/>
        <w:spacing w:after="0" w:line="237" w:lineRule="auto"/>
        <w:rPr>
          <w:sz w:val="20"/>
          <w:szCs w:val="20"/>
          <w:color w:val="auto"/>
        </w:rPr>
      </w:pPr>
      <w:r>
        <w:rPr>
          <w:rFonts w:ascii="Arial" w:cs="Arial" w:eastAsia="Arial" w:hAnsi="Arial"/>
          <w:sz w:val="18"/>
          <w:szCs w:val="18"/>
          <w:color w:val="auto"/>
        </w:rPr>
        <w:t>The majority of our revenue is derived from online product sales. We recognize revenue from the sale of phones and other consumer electronics goods through the two online marketplaces we operate: PJT Marketplace and Paipai Marketplace. We utilize external delivery service providers to deliver goods to our customers. We present revenue generated from our sales of products on a gross basis as we have control of the goods and have the ability to direct the use of goods to obtain substantially all the benefits, and recognize revenue at the point of time when the goods have been delivered to the customers. The customers pay for the goods in advance. We offer our customers right of return for a period of three to seven days upon the receipts. Product revenues are reduced by estimated sales return, which has been immaterial in the historical periods.</w:t>
      </w:r>
    </w:p>
    <w:p>
      <w:pPr>
        <w:spacing w:after="0" w:line="20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For product sales through AHS stores, we recognize revenue at the point of time when customers pay and obtain control of the products. When transactions involving trade-in devices, the purchase of the pre-owned product and the sale of new product are separately settled in cash on a gross basis and accounted for as two separate transactions. From July 2020, we began to net settle the trade-in transactions, and the fair value of trade-in product is recognized as non-cash consideration for the sale of the new product.</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Service Revenue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addition to product sales, PJT Marketplace and Paipai Marketplace also serve as online marketplace to provide third-party merchants platform services enabling them to transact with customers, for which we charge commission fees to our merchants and/or customers. Under the platform service arrangement, we act as an agent and do not take control of the products provided by the merchants at any point in the time during the transactions and do not have latitude over pricing of the merchandise.</w:t>
      </w:r>
    </w:p>
    <w:p>
      <w:pPr>
        <w:spacing w:after="0" w:line="205"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For PJT Marketplace, we charge both the merchants and business buyers a commission fee. The commission fee charged to the merchants is determined as a percentage based on the executed transaction price, and the commission fee charged to business buyers is determined as a negotiated tiered amount. For Paipai Marketplace, commission fees are charged to merchants only, determined as a percentage based on the executed transaction price. For certain merchants who sell products on our online marketplaces, we enter into contractual agreements with these merchants for a fixed monthly marketplace management fee in addition to the commission fees charged for each transaction.</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Commission fees are recognized in the consolidated statements of operations and comprehensive loss at the time when the service obligations to the merchants are determined to have been completed under each sales transaction upon the business buyers’ confirming the receipts of goods or over time for merchants paying fixed monthly management fees. Commission fees are not refundable if business buyers return the merchandise to merchants.</w:t>
      </w:r>
    </w:p>
    <w:p>
      <w:pPr>
        <w:spacing w:after="0" w:line="205" w:lineRule="exact"/>
        <w:rPr>
          <w:sz w:val="20"/>
          <w:szCs w:val="20"/>
          <w:color w:val="auto"/>
        </w:rPr>
      </w:pPr>
    </w:p>
    <w:p>
      <w:pPr>
        <w:ind w:left="120" w:right="420" w:firstLine="551"/>
        <w:spacing w:after="0" w:line="246" w:lineRule="auto"/>
        <w:rPr>
          <w:sz w:val="20"/>
          <w:szCs w:val="20"/>
          <w:color w:val="auto"/>
        </w:rPr>
      </w:pPr>
      <w:r>
        <w:rPr>
          <w:rFonts w:ascii="Arial" w:cs="Arial" w:eastAsia="Arial" w:hAnsi="Arial"/>
          <w:sz w:val="18"/>
          <w:szCs w:val="18"/>
          <w:color w:val="auto"/>
        </w:rPr>
        <w:t>We provide a one-year warranty for pre-owned consumer electronics sold on Paipai Marketplace, which is not considered as a separate performance obligation. The costs associated with the warranty was immaterial during the years presented.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Reconciliation of contract balances</w:t>
      </w:r>
    </w:p>
    <w:p>
      <w:pPr>
        <w:spacing w:after="0" w:line="126"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A receivable is recorded when we have an unconditional right to consideration. A right to consideration is unconditional if only the passage of time is required before payment of that consideration is due. A contract asset is recorded when we have transferred products to the customer before payment is received or is due, and our right to consideration is conditional on future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performance or other factors in the contract. There was no contract asset as of December 31, 2018, 2019, 2020 and March 31, 2021.</w:t>
      </w:r>
    </w:p>
    <w:p>
      <w:pPr>
        <w:ind w:left="120"/>
        <w:spacing w:after="0"/>
        <w:rPr>
          <w:sz w:val="20"/>
          <w:szCs w:val="20"/>
          <w:color w:val="auto"/>
        </w:rPr>
      </w:pPr>
      <w:r>
        <w:rPr>
          <w:rFonts w:ascii="Arial" w:cs="Arial" w:eastAsia="Arial" w:hAnsi="Arial"/>
          <w:sz w:val="18"/>
          <w:szCs w:val="18"/>
          <w:color w:val="auto"/>
        </w:rPr>
        <w:t>Accounts receivable was recorded within prepayments and other receivables, net and not material for all periods presented.</w:t>
      </w:r>
    </w:p>
    <w:p>
      <w:pPr>
        <w:spacing w:after="0" w:line="212"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A contract liability exists when we have received consideration but have not transferred the related goods or services to the customer. Our contract liabilities mainly consist of payments received from customers before they received the products, and were included in accrued expenses and other current liabilities in the consolidated balance sheets. The contract liabilities were recognized in revenue in the next month.</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costs of obtaining a contract for the years ended December 31, 2018, 2019, 2020 and March 31, 2021.</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order to further grow our business and access to the mass retail consumers, we acquired Paipai, a B2C online retail platform for pre-owned products, from JD.com, Inc. (“JD”) on June 3, 2019. The tangible assets acquired primarily include property and equipment related to the operations of Paipai platform such as computers. The intangible assets acquired primarily include resources provided by JD under a business cooperation agreement entered into together with the acquisition of Paipai, brand names, non-compete commitment, technology and platform, deferred tax liabilities and goodwill. In addition to the tangible and intangible assets, we received a net cash of US$20.1 million from JD. As a consideration, we issued 27,500,098 Series E preferred Shares to JD.com Development Limited. We accounted for this acquisition as business combination.</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entered into an exclusive business cooperation agreement with JD in 2017 for a period of three years. In 2019, we amended and extended the business cooperation agreement as part of our acquisition of Paipai Marketplace and recognized an incremental value to the existing business cooperation agreement, together with the newly acquired technologies/platform, non-compete commitment and brand names as identifiable assets. Under the exclusive business cooperation agreement, JD provides us with an access portal on its own platform that links to our purchasing and selling online marketplace, including Paipai Marketplace, and we pay JD channel commission based on transaction volume and recorded such payments in selling and marketing expenses.</w:t>
      </w:r>
    </w:p>
    <w:p>
      <w:pPr>
        <w:spacing w:after="0" w:line="205"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The fair value of the convertible redeemable preferred shares and purchase price allocation were determined by us with the assistance of a third party valuation firm.</w:t>
      </w:r>
    </w:p>
    <w:p>
      <w:pPr>
        <w:spacing w:after="0" w:line="197"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The identifiable assets acquired are required to be recognized and measured at fair value as of the acquisition date. An intangible asset is identified if it meets either the separability criterion or the contractual-legal criteria in accordance with ASC 805, Business Combination. The assembled workforce did not meet the separation criteria or the contractual-legal criteria and therefore, are not identifiable and not recognized apart from goodwill. Goodwill recognized from the acquisition was assigned to the entire group and is not expected to be deductible for income tax purposes. The acquisition cost incurred and expensed for the business combination was immaterial.</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fair value of the Business Cooperation Agreement was determined using the cost saving method. Under the cost saving method, the operation cost we can save with our cooperation with JD Group, including savings in marketing expense, commission fee and traffic expense have been assessed. Certain key assumptions such as page views on JD channel, cost per click and ratio of commission fee have been benchmarked against the industry. The estimated economic lives of Business Cooperation Agreement were based on the terms of the agreement.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40" w:firstLine="551"/>
        <w:spacing w:after="0" w:line="261" w:lineRule="auto"/>
        <w:rPr>
          <w:sz w:val="20"/>
          <w:szCs w:val="20"/>
          <w:color w:val="auto"/>
        </w:rPr>
      </w:pPr>
      <w:r>
        <w:rPr>
          <w:rFonts w:ascii="Arial" w:cs="Arial" w:eastAsia="Arial" w:hAnsi="Arial"/>
          <w:sz w:val="17"/>
          <w:szCs w:val="17"/>
          <w:color w:val="auto"/>
        </w:rPr>
        <w:t>The fair value of Brand names and Technology platform was determined using the relief from royalty method. Under relief from royalty method, the royalty savings from owning the intangible assets have been determined with reference to the market transactions. The estimated economic lives of Brand names and Technology platform was determined with reference to the industry average data.</w:t>
      </w:r>
    </w:p>
    <w:p>
      <w:pPr>
        <w:spacing w:after="0" w:line="18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fair value of Non-compete commitment was determined using with and without method. Under with and without method, the difference between the values of the business with and without the agreement in place has been assessed. Certain key assumption such as the impacts on revenue and profitability without the Non-compete commitment as well as the probability of competition have been taken into account. The estimated economic lives of Non-compete commitment was based on the terms of the agreement.</w:t>
      </w:r>
    </w:p>
    <w:p>
      <w:pPr>
        <w:spacing w:after="0" w:line="205"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Following the initial recognition, intangible assets are carried at cost less any accumulated amortization and any accumulated impairment losses.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Intangible assets mainly include those acquired through business combinations. Intangible assets arising from our acquisition of Paipai business from JD including Business Cooperation Agreement (“BCA”), Non-Compete Commitment (“NCC”), technology/platform and brand names are recognized and measured at fair value with the assistance of a third-party valuation firm using valuation techniques such as discounted cash flow analysis. Major assumptions used in determining the fair value of these intangible assets include future growth rates and weighted average cost of capital. Following the initial recognition, intangible assets are carried at cost less any accumulated amortization and any accumulated impairment losses. The identifiable intangible assets acquired are amortized on a straight-line basis over their respective useful lives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The identifiable intangible assets</w:t>
            </w:r>
          </w:p>
        </w:tc>
        <w:tc>
          <w:tcPr>
            <w:tcW w:w="3580" w:type="dxa"/>
            <w:vAlign w:val="bottom"/>
          </w:tcPr>
          <w:p>
            <w:pPr>
              <w:spacing w:after="0"/>
              <w:rPr>
                <w:sz w:val="16"/>
                <w:szCs w:val="16"/>
                <w:color w:val="auto"/>
              </w:rPr>
            </w:pPr>
          </w:p>
        </w:tc>
        <w:tc>
          <w:tcPr>
            <w:tcW w:w="518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Amortization Years</w:t>
            </w:r>
          </w:p>
        </w:tc>
      </w:tr>
      <w:tr>
        <w:trPr>
          <w:trHeight w:val="189"/>
        </w:trPr>
        <w:tc>
          <w:tcPr>
            <w:tcW w:w="2260" w:type="dxa"/>
            <w:vAlign w:val="bottom"/>
          </w:tcPr>
          <w:p>
            <w:pPr>
              <w:spacing w:after="0" w:line="189" w:lineRule="exact"/>
              <w:rPr>
                <w:sz w:val="20"/>
                <w:szCs w:val="20"/>
                <w:color w:val="auto"/>
              </w:rPr>
            </w:pPr>
            <w:r>
              <w:rPr>
                <w:rFonts w:ascii="Arial" w:cs="Arial" w:eastAsia="Arial" w:hAnsi="Arial"/>
                <w:sz w:val="18"/>
                <w:szCs w:val="18"/>
                <w:color w:val="auto"/>
              </w:rPr>
              <w:t>Brand names</w:t>
            </w:r>
          </w:p>
        </w:tc>
        <w:tc>
          <w:tcPr>
            <w:tcW w:w="3580" w:type="dxa"/>
            <w:vAlign w:val="bottom"/>
          </w:tcPr>
          <w:p>
            <w:pPr>
              <w:spacing w:after="0"/>
              <w:rPr>
                <w:sz w:val="16"/>
                <w:szCs w:val="16"/>
                <w:color w:val="auto"/>
              </w:rPr>
            </w:pPr>
          </w:p>
        </w:tc>
        <w:tc>
          <w:tcPr>
            <w:tcW w:w="5180" w:type="dxa"/>
            <w:vAlign w:val="bottom"/>
          </w:tcPr>
          <w:p>
            <w:pPr>
              <w:spacing w:after="0" w:line="189" w:lineRule="exact"/>
              <w:rPr>
                <w:sz w:val="20"/>
                <w:szCs w:val="20"/>
                <w:color w:val="auto"/>
              </w:rPr>
            </w:pPr>
            <w:r>
              <w:rPr>
                <w:rFonts w:ascii="Arial" w:cs="Arial" w:eastAsia="Arial" w:hAnsi="Arial"/>
                <w:sz w:val="18"/>
                <w:szCs w:val="18"/>
                <w:color w:val="auto"/>
              </w:rPr>
              <w:t>10 years</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BCA</w:t>
            </w:r>
          </w:p>
        </w:tc>
        <w:tc>
          <w:tcPr>
            <w:tcW w:w="8760" w:type="dxa"/>
            <w:vAlign w:val="bottom"/>
            <w:gridSpan w:val="2"/>
          </w:tcPr>
          <w:p>
            <w:pPr>
              <w:ind w:left="3580"/>
              <w:spacing w:after="0" w:line="202" w:lineRule="exact"/>
              <w:rPr>
                <w:sz w:val="20"/>
                <w:szCs w:val="20"/>
                <w:color w:val="auto"/>
              </w:rPr>
            </w:pPr>
            <w:r>
              <w:rPr>
                <w:rFonts w:ascii="Arial" w:cs="Arial" w:eastAsia="Arial" w:hAnsi="Arial"/>
                <w:sz w:val="18"/>
                <w:szCs w:val="18"/>
                <w:color w:val="auto"/>
              </w:rPr>
              <w:t>1-6 years</w:t>
            </w:r>
          </w:p>
        </w:tc>
      </w:tr>
      <w:tr>
        <w:trPr>
          <w:trHeight w:val="203"/>
        </w:trPr>
        <w:tc>
          <w:tcPr>
            <w:tcW w:w="2260" w:type="dxa"/>
            <w:vAlign w:val="bottom"/>
          </w:tcPr>
          <w:p>
            <w:pPr>
              <w:spacing w:after="0" w:line="202" w:lineRule="exact"/>
              <w:rPr>
                <w:sz w:val="20"/>
                <w:szCs w:val="20"/>
                <w:color w:val="auto"/>
              </w:rPr>
            </w:pPr>
            <w:r>
              <w:rPr>
                <w:rFonts w:ascii="Arial" w:cs="Arial" w:eastAsia="Arial" w:hAnsi="Arial"/>
                <w:sz w:val="18"/>
                <w:szCs w:val="18"/>
                <w:color w:val="auto"/>
              </w:rPr>
              <w:t>Technology/platform</w:t>
            </w:r>
          </w:p>
        </w:tc>
        <w:tc>
          <w:tcPr>
            <w:tcW w:w="8760" w:type="dxa"/>
            <w:vAlign w:val="bottom"/>
            <w:gridSpan w:val="2"/>
          </w:tcPr>
          <w:p>
            <w:pPr>
              <w:ind w:left="3580"/>
              <w:spacing w:after="0" w:line="202" w:lineRule="exact"/>
              <w:rPr>
                <w:sz w:val="20"/>
                <w:szCs w:val="20"/>
                <w:color w:val="auto"/>
              </w:rPr>
            </w:pPr>
            <w:r>
              <w:rPr>
                <w:rFonts w:ascii="Arial" w:cs="Arial" w:eastAsia="Arial" w:hAnsi="Arial"/>
                <w:sz w:val="18"/>
                <w:szCs w:val="18"/>
                <w:color w:val="auto"/>
              </w:rPr>
              <w:t>5 years</w:t>
            </w:r>
          </w:p>
        </w:tc>
      </w:tr>
      <w:tr>
        <w:trPr>
          <w:trHeight w:val="217"/>
        </w:trPr>
        <w:tc>
          <w:tcPr>
            <w:tcW w:w="2260" w:type="dxa"/>
            <w:vAlign w:val="bottom"/>
          </w:tcPr>
          <w:p>
            <w:pPr>
              <w:spacing w:after="0"/>
              <w:rPr>
                <w:sz w:val="20"/>
                <w:szCs w:val="20"/>
                <w:color w:val="auto"/>
              </w:rPr>
            </w:pPr>
            <w:r>
              <w:rPr>
                <w:rFonts w:ascii="Arial" w:cs="Arial" w:eastAsia="Arial" w:hAnsi="Arial"/>
                <w:sz w:val="18"/>
                <w:szCs w:val="18"/>
                <w:color w:val="auto"/>
              </w:rPr>
              <w:t>NCC</w:t>
            </w:r>
          </w:p>
        </w:tc>
        <w:tc>
          <w:tcPr>
            <w:tcW w:w="8760" w:type="dxa"/>
            <w:vAlign w:val="bottom"/>
            <w:gridSpan w:val="2"/>
          </w:tcPr>
          <w:p>
            <w:pPr>
              <w:ind w:left="3580"/>
              <w:spacing w:after="0"/>
              <w:rPr>
                <w:sz w:val="20"/>
                <w:szCs w:val="20"/>
                <w:color w:val="auto"/>
              </w:rPr>
            </w:pPr>
            <w:r>
              <w:rPr>
                <w:rFonts w:ascii="Arial" w:cs="Arial" w:eastAsia="Arial" w:hAnsi="Arial"/>
                <w:sz w:val="18"/>
                <w:szCs w:val="18"/>
                <w:color w:val="auto"/>
              </w:rPr>
              <w:t>5 years</w:t>
            </w: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Goodwill is recognized for the excess of the purchase price over the fair value of tangible and identifiable intangible net assets of business acquired. Goodwill is not amortized but is reviewed at least annually for impairment or earlier, if any indication of impairment exists.</w:t>
      </w:r>
    </w:p>
    <w:p>
      <w:pPr>
        <w:spacing w:after="0" w:line="203" w:lineRule="exact"/>
        <w:rPr>
          <w:sz w:val="20"/>
          <w:szCs w:val="20"/>
          <w:color w:val="auto"/>
        </w:rPr>
      </w:pPr>
    </w:p>
    <w:p>
      <w:pPr>
        <w:ind w:left="120" w:right="160" w:firstLine="551"/>
        <w:spacing w:after="0" w:line="237" w:lineRule="auto"/>
        <w:rPr>
          <w:sz w:val="20"/>
          <w:szCs w:val="20"/>
          <w:color w:val="auto"/>
        </w:rPr>
      </w:pPr>
      <w:r>
        <w:rPr>
          <w:rFonts w:ascii="Arial" w:cs="Arial" w:eastAsia="Arial" w:hAnsi="Arial"/>
          <w:sz w:val="18"/>
          <w:szCs w:val="18"/>
          <w:color w:val="auto"/>
        </w:rPr>
        <w:t>We chose to early adopt Financial Accounting Standards Board (“FASB”) revised guidance on ASU 2017-04 “Testing of Goodwill for Impairment” on January 1, 2018. Under this guidance, we choose to apply a qualitative assessment first, it starts the goodwill impairment test by assessing qualitative factors to determine whether it is more likely than not that the fair value of a reporting unit is less than its carrying amount. If we determine that it is more likely not the fair value of a reporting unit is less than its carrying amount, the quantitative impairment test is mandatory. Otherwise, no further testing is required. The quantitative impairment test consists of comparison of the fair value of a reporting unit to its carrying amount.</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rates and making other assumptions. Changes in these estimates and assumptions could materially affect the determination of fair value for each reporting unit. We have determined we have only one reporting unit and performs our annual goodwill impairment analysis on December 31 of every year.</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did not have any goodwill prior to 2019. As of December 31, 2019 and 2020 and March 31, 2021, we performed qualitative analysis and concluded that it was not more likely than not that the fair value of the reporting unit is less than its carrying amount. As of December 31, 2019 and 2020 and March 31, 2021, the fair value of the reporting unit was substantially in excess of the carrying value and was not at risk of failing quantitative assessment. As a result, no further quantitative analysis was deemed necessary and no goodwill impairment was recognized for the years ended December 31, 2019 and 2020 and the three months ended March 31,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the options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Prior to this offering, we were a private company with no quoted market prices for our ordinary shares. We therefore made estimates of the fair value of our ordinary shares at various dates for the purpose of determining the fair value of our ordinary shares at the grant dates of share-based compensation awards to our employees to determine the grant date fair value of the awards, as well as determining whether there’s any beneficial conversion feature to be recognized for our convertible redeemable preferred shares. Such valuation estimates will no longer be necessary once we go public and our underlying shares begin trading as we will rely on the market price to determine the market value of our common stock.</w:t>
      </w:r>
    </w:p>
    <w:p>
      <w:pPr>
        <w:spacing w:after="0" w:line="205"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In determining the fair value of the stock options, the binomial option pricing model was applied. The key assumptions used to determine the fair value of the options at the respective grant dates in 2018, 2019 and 2020 were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3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55"/>
        </w:trPr>
        <w:tc>
          <w:tcPr>
            <w:tcW w:w="6040" w:type="dxa"/>
            <w:vAlign w:val="bottom"/>
          </w:tcPr>
          <w:p>
            <w:pPr>
              <w:spacing w:after="0"/>
              <w:rPr>
                <w:sz w:val="13"/>
                <w:szCs w:val="13"/>
                <w:color w:val="auto"/>
              </w:rPr>
            </w:pPr>
          </w:p>
        </w:tc>
        <w:tc>
          <w:tcPr>
            <w:tcW w:w="1600" w:type="dxa"/>
            <w:vAlign w:val="bottom"/>
          </w:tcPr>
          <w:p>
            <w:pPr>
              <w:jc w:val="right"/>
              <w:ind w:right="754"/>
              <w:spacing w:after="0" w:line="155" w:lineRule="exact"/>
              <w:rPr>
                <w:sz w:val="20"/>
                <w:szCs w:val="20"/>
                <w:color w:val="auto"/>
              </w:rPr>
            </w:pPr>
            <w:r>
              <w:rPr>
                <w:rFonts w:ascii="Arial" w:cs="Arial" w:eastAsia="Arial" w:hAnsi="Arial"/>
                <w:sz w:val="14"/>
                <w:szCs w:val="14"/>
                <w:b w:val="1"/>
                <w:bCs w:val="1"/>
                <w:color w:val="auto"/>
              </w:rPr>
              <w:t>2018</w:t>
            </w:r>
          </w:p>
        </w:tc>
        <w:tc>
          <w:tcPr>
            <w:tcW w:w="1960" w:type="dxa"/>
            <w:vAlign w:val="bottom"/>
          </w:tcPr>
          <w:p>
            <w:pPr>
              <w:jc w:val="right"/>
              <w:ind w:right="932"/>
              <w:spacing w:after="0" w:line="155" w:lineRule="exact"/>
              <w:rPr>
                <w:sz w:val="20"/>
                <w:szCs w:val="20"/>
                <w:color w:val="auto"/>
              </w:rPr>
            </w:pPr>
            <w:r>
              <w:rPr>
                <w:rFonts w:ascii="Arial" w:cs="Arial" w:eastAsia="Arial" w:hAnsi="Arial"/>
                <w:sz w:val="14"/>
                <w:szCs w:val="14"/>
                <w:b w:val="1"/>
                <w:bCs w:val="1"/>
                <w:color w:val="auto"/>
              </w:rPr>
              <w:t>2019</w:t>
            </w:r>
          </w:p>
        </w:tc>
        <w:tc>
          <w:tcPr>
            <w:tcW w:w="120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60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47.59%~50.39%</w:t>
            </w:r>
          </w:p>
        </w:tc>
        <w:tc>
          <w:tcPr>
            <w:tcW w:w="196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45.98%~46.55%</w:t>
            </w:r>
          </w:p>
        </w:tc>
        <w:tc>
          <w:tcPr>
            <w:tcW w:w="1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47.28%~48.09%</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Risk-free interest rate (per annum)</w:t>
            </w:r>
          </w:p>
        </w:tc>
        <w:tc>
          <w:tcPr>
            <w:tcW w:w="16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2.69%-3.06%</w:t>
            </w:r>
          </w:p>
        </w:tc>
        <w:tc>
          <w:tcPr>
            <w:tcW w:w="19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1.67%~2.41%</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0.66%~0.92%</w:t>
            </w: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multiples</w:t>
            </w:r>
          </w:p>
        </w:tc>
        <w:tc>
          <w:tcPr>
            <w:tcW w:w="1600" w:type="dxa"/>
            <w:vAlign w:val="bottom"/>
            <w:shd w:val="clear" w:color="auto" w:fill="CCEEFF"/>
          </w:tcPr>
          <w:p>
            <w:pPr>
              <w:jc w:val="right"/>
              <w:ind w:right="294"/>
              <w:spacing w:after="0" w:line="202" w:lineRule="exact"/>
              <w:rPr>
                <w:sz w:val="20"/>
                <w:szCs w:val="20"/>
                <w:color w:val="auto"/>
              </w:rPr>
            </w:pPr>
            <w:r>
              <w:rPr>
                <w:rFonts w:ascii="Arial" w:cs="Arial" w:eastAsia="Arial" w:hAnsi="Arial"/>
                <w:sz w:val="18"/>
                <w:szCs w:val="18"/>
                <w:color w:val="auto"/>
              </w:rPr>
              <w:t>2.2~2.8</w:t>
            </w:r>
          </w:p>
        </w:tc>
        <w:tc>
          <w:tcPr>
            <w:tcW w:w="1960" w:type="dxa"/>
            <w:vAlign w:val="bottom"/>
            <w:shd w:val="clear" w:color="auto" w:fill="CCEEFF"/>
          </w:tcPr>
          <w:p>
            <w:pPr>
              <w:jc w:val="right"/>
              <w:ind w:right="492"/>
              <w:spacing w:after="0" w:line="202" w:lineRule="exact"/>
              <w:rPr>
                <w:sz w:val="20"/>
                <w:szCs w:val="20"/>
                <w:color w:val="auto"/>
              </w:rPr>
            </w:pPr>
            <w:r>
              <w:rPr>
                <w:rFonts w:ascii="Arial" w:cs="Arial" w:eastAsia="Arial" w:hAnsi="Arial"/>
                <w:sz w:val="18"/>
                <w:szCs w:val="18"/>
                <w:color w:val="auto"/>
              </w:rPr>
              <w:t>2.2~2.8</w:t>
            </w:r>
          </w:p>
        </w:tc>
        <w:tc>
          <w:tcPr>
            <w:tcW w:w="1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2.2~2.8</w:t>
            </w:r>
          </w:p>
        </w:tc>
      </w:tr>
      <w:tr>
        <w:trPr>
          <w:trHeight w:val="203"/>
        </w:trPr>
        <w:tc>
          <w:tcPr>
            <w:tcW w:w="60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60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0.00%</w:t>
            </w:r>
          </w:p>
        </w:tc>
        <w:tc>
          <w:tcPr>
            <w:tcW w:w="19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0.00%</w:t>
            </w:r>
          </w:p>
        </w:tc>
        <w:tc>
          <w:tcPr>
            <w:tcW w:w="1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0.00%</w:t>
            </w:r>
          </w:p>
        </w:tc>
      </w:tr>
      <w:tr>
        <w:trPr>
          <w:trHeight w:val="202"/>
        </w:trPr>
        <w:tc>
          <w:tcPr>
            <w:tcW w:w="6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underlying ordinary shares</w:t>
            </w:r>
          </w:p>
        </w:tc>
        <w:tc>
          <w:tcPr>
            <w:tcW w:w="1600" w:type="dxa"/>
            <w:vAlign w:val="bottom"/>
            <w:shd w:val="clear" w:color="auto" w:fill="CCEEFF"/>
          </w:tcPr>
          <w:p>
            <w:pPr>
              <w:jc w:val="right"/>
              <w:ind w:right="294"/>
              <w:spacing w:after="0" w:line="201" w:lineRule="exact"/>
              <w:rPr>
                <w:sz w:val="20"/>
                <w:szCs w:val="20"/>
                <w:color w:val="auto"/>
              </w:rPr>
            </w:pPr>
            <w:r>
              <w:rPr>
                <w:rFonts w:ascii="Arial" w:cs="Arial" w:eastAsia="Arial" w:hAnsi="Arial"/>
                <w:sz w:val="18"/>
                <w:szCs w:val="18"/>
                <w:color w:val="auto"/>
              </w:rPr>
              <w:t>RMB8.66~</w:t>
            </w:r>
          </w:p>
        </w:tc>
        <w:tc>
          <w:tcPr>
            <w:tcW w:w="1960" w:type="dxa"/>
            <w:vAlign w:val="bottom"/>
            <w:shd w:val="clear" w:color="auto" w:fill="CCEEFF"/>
          </w:tcPr>
          <w:p>
            <w:pPr>
              <w:jc w:val="right"/>
              <w:ind w:right="492"/>
              <w:spacing w:after="0" w:line="201" w:lineRule="exact"/>
              <w:rPr>
                <w:sz w:val="20"/>
                <w:szCs w:val="20"/>
                <w:color w:val="auto"/>
              </w:rPr>
            </w:pPr>
            <w:r>
              <w:rPr>
                <w:rFonts w:ascii="Arial" w:cs="Arial" w:eastAsia="Arial" w:hAnsi="Arial"/>
                <w:sz w:val="18"/>
                <w:szCs w:val="18"/>
                <w:color w:val="auto"/>
              </w:rPr>
              <w:t>RMB24.37~</w:t>
            </w:r>
          </w:p>
        </w:tc>
        <w:tc>
          <w:tcPr>
            <w:tcW w:w="14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RMB36.02~</w:t>
            </w:r>
          </w:p>
        </w:tc>
      </w:tr>
      <w:tr>
        <w:trPr>
          <w:trHeight w:val="203"/>
        </w:trPr>
        <w:tc>
          <w:tcPr>
            <w:tcW w:w="604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294"/>
              <w:spacing w:after="0" w:line="203" w:lineRule="exact"/>
              <w:rPr>
                <w:sz w:val="20"/>
                <w:szCs w:val="20"/>
                <w:color w:val="auto"/>
              </w:rPr>
            </w:pPr>
            <w:r>
              <w:rPr>
                <w:rFonts w:ascii="Arial" w:cs="Arial" w:eastAsia="Arial" w:hAnsi="Arial"/>
                <w:sz w:val="18"/>
                <w:szCs w:val="18"/>
                <w:color w:val="auto"/>
              </w:rPr>
              <w:t>24.79</w:t>
            </w:r>
          </w:p>
        </w:tc>
        <w:tc>
          <w:tcPr>
            <w:tcW w:w="1960" w:type="dxa"/>
            <w:vAlign w:val="bottom"/>
            <w:shd w:val="clear" w:color="auto" w:fill="CCEEFF"/>
          </w:tcPr>
          <w:p>
            <w:pPr>
              <w:jc w:val="right"/>
              <w:ind w:right="492"/>
              <w:spacing w:after="0" w:line="203" w:lineRule="exact"/>
              <w:rPr>
                <w:sz w:val="20"/>
                <w:szCs w:val="20"/>
                <w:color w:val="auto"/>
              </w:rPr>
            </w:pPr>
            <w:r>
              <w:rPr>
                <w:rFonts w:ascii="Arial" w:cs="Arial" w:eastAsia="Arial" w:hAnsi="Arial"/>
                <w:sz w:val="18"/>
                <w:szCs w:val="18"/>
                <w:color w:val="auto"/>
              </w:rPr>
              <w:t>39.06</w:t>
            </w:r>
          </w:p>
        </w:tc>
        <w:tc>
          <w:tcPr>
            <w:tcW w:w="14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47.16</w:t>
            </w:r>
          </w:p>
        </w:tc>
      </w:tr>
      <w:tr>
        <w:trPr>
          <w:trHeight w:val="202"/>
        </w:trPr>
        <w:tc>
          <w:tcPr>
            <w:tcW w:w="6040" w:type="dxa"/>
            <w:vAlign w:val="bottom"/>
          </w:tcPr>
          <w:p>
            <w:pPr>
              <w:spacing w:after="0" w:line="201" w:lineRule="exact"/>
              <w:rPr>
                <w:sz w:val="20"/>
                <w:szCs w:val="20"/>
                <w:color w:val="auto"/>
              </w:rPr>
            </w:pPr>
            <w:r>
              <w:rPr>
                <w:rFonts w:ascii="Arial" w:cs="Arial" w:eastAsia="Arial" w:hAnsi="Arial"/>
                <w:sz w:val="18"/>
                <w:szCs w:val="18"/>
                <w:color w:val="auto"/>
              </w:rPr>
              <w:t>Fair value of share option</w:t>
            </w:r>
          </w:p>
        </w:tc>
        <w:tc>
          <w:tcPr>
            <w:tcW w:w="1600" w:type="dxa"/>
            <w:vAlign w:val="bottom"/>
          </w:tcPr>
          <w:p>
            <w:pPr>
              <w:jc w:val="right"/>
              <w:ind w:right="294"/>
              <w:spacing w:after="0" w:line="201" w:lineRule="exact"/>
              <w:rPr>
                <w:sz w:val="20"/>
                <w:szCs w:val="20"/>
                <w:color w:val="auto"/>
              </w:rPr>
            </w:pPr>
            <w:r>
              <w:rPr>
                <w:rFonts w:ascii="Arial" w:cs="Arial" w:eastAsia="Arial" w:hAnsi="Arial"/>
                <w:sz w:val="18"/>
                <w:szCs w:val="18"/>
                <w:color w:val="auto"/>
              </w:rPr>
              <w:t>RMB5.11~</w:t>
            </w:r>
          </w:p>
        </w:tc>
        <w:tc>
          <w:tcPr>
            <w:tcW w:w="1960" w:type="dxa"/>
            <w:vAlign w:val="bottom"/>
          </w:tcPr>
          <w:p>
            <w:pPr>
              <w:jc w:val="right"/>
              <w:ind w:right="492"/>
              <w:spacing w:after="0" w:line="201" w:lineRule="exact"/>
              <w:rPr>
                <w:sz w:val="20"/>
                <w:szCs w:val="20"/>
                <w:color w:val="auto"/>
              </w:rPr>
            </w:pPr>
            <w:r>
              <w:rPr>
                <w:rFonts w:ascii="Arial" w:cs="Arial" w:eastAsia="Arial" w:hAnsi="Arial"/>
                <w:sz w:val="18"/>
                <w:szCs w:val="18"/>
                <w:color w:val="auto"/>
              </w:rPr>
              <w:t>RMB23.68~</w:t>
            </w:r>
          </w:p>
        </w:tc>
        <w:tc>
          <w:tcPr>
            <w:tcW w:w="14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RMB35.37~</w:t>
            </w:r>
          </w:p>
        </w:tc>
      </w:tr>
      <w:tr>
        <w:trPr>
          <w:trHeight w:val="217"/>
        </w:trPr>
        <w:tc>
          <w:tcPr>
            <w:tcW w:w="6040" w:type="dxa"/>
            <w:vAlign w:val="bottom"/>
          </w:tcPr>
          <w:p>
            <w:pPr>
              <w:spacing w:after="0"/>
              <w:rPr>
                <w:sz w:val="18"/>
                <w:szCs w:val="18"/>
                <w:color w:val="auto"/>
              </w:rPr>
            </w:pPr>
          </w:p>
        </w:tc>
        <w:tc>
          <w:tcPr>
            <w:tcW w:w="1600" w:type="dxa"/>
            <w:vAlign w:val="bottom"/>
          </w:tcPr>
          <w:p>
            <w:pPr>
              <w:jc w:val="right"/>
              <w:ind w:right="294"/>
              <w:spacing w:after="0"/>
              <w:rPr>
                <w:sz w:val="20"/>
                <w:szCs w:val="20"/>
                <w:color w:val="auto"/>
              </w:rPr>
            </w:pPr>
            <w:r>
              <w:rPr>
                <w:rFonts w:ascii="Arial" w:cs="Arial" w:eastAsia="Arial" w:hAnsi="Arial"/>
                <w:sz w:val="18"/>
                <w:szCs w:val="18"/>
                <w:color w:val="auto"/>
              </w:rPr>
              <w:t>24.15</w:t>
            </w:r>
          </w:p>
        </w:tc>
        <w:tc>
          <w:tcPr>
            <w:tcW w:w="1960" w:type="dxa"/>
            <w:vAlign w:val="bottom"/>
          </w:tcPr>
          <w:p>
            <w:pPr>
              <w:jc w:val="right"/>
              <w:ind w:right="492"/>
              <w:spacing w:after="0"/>
              <w:rPr>
                <w:sz w:val="20"/>
                <w:szCs w:val="20"/>
                <w:color w:val="auto"/>
              </w:rPr>
            </w:pPr>
            <w:r>
              <w:rPr>
                <w:rFonts w:ascii="Arial" w:cs="Arial" w:eastAsia="Arial" w:hAnsi="Arial"/>
                <w:sz w:val="18"/>
                <w:szCs w:val="18"/>
                <w:color w:val="auto"/>
              </w:rPr>
              <w:t>38.40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46.53</w:t>
            </w:r>
          </w:p>
        </w:tc>
      </w:tr>
    </w:tbl>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estimated expected volatility by reference to the historical price volatilities of ordinary shares of comparable companies over a period close to the contract term of the options. We estimated the risk free interest rate based on the yield to maturity of U.S. government bonds at grant date with a maturity period close to the contract term of options. As we had no option exercise history, it estimated exercise multiples based on empirical research on typical employee stock option exercising behavior. The dividend yield was estimated as zero based on the plan to retain profit for corporate expansion and no dividend will be distributed in the near future.</w:t>
      </w:r>
    </w:p>
    <w:p>
      <w:pPr>
        <w:spacing w:after="0" w:line="202"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We determined the fair value of ordinary shares underlying each share option grant based on estimated equity value and allocation of it to each element of our capital structure (preferred shares and ordinary shares) using equity allocation model. In our case, three scenarios were assumed, namely: (i) liquidation scenario; (ii) redemption scenario; and (iii) mandatory conversion scenario. Under liquidation and redemption scenarios, option pricing method was adopted to allocate the value between preferred shares and ordinary shares according to their respective rights. Under mandatory conversion scenario, the equity value was allocated to preferred shares and ordinary shares on an as-if converted basis.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determining our equity value before we become a public company, we used both back-solve method and income approach (i.e. discounted cash flow, or DCF method) to determine the fair value of the business enterprise value. We considered the methods we applied are the most appropriate in accordance with the guidelines outlined in the American Institute of Certified Public Accountants’ Practice Aid, Valuation of Privately-Held Company Equity Securities Issued as Compensation, with the assistance of an independent third-party appraiser.</w:t>
      </w:r>
    </w:p>
    <w:p>
      <w:pPr>
        <w:spacing w:after="0" w:line="202" w:lineRule="exact"/>
        <w:rPr>
          <w:sz w:val="20"/>
          <w:szCs w:val="20"/>
          <w:color w:val="auto"/>
        </w:rPr>
      </w:pPr>
    </w:p>
    <w:p>
      <w:pPr>
        <w:ind w:left="120" w:right="380" w:firstLine="551"/>
        <w:spacing w:after="0" w:line="274" w:lineRule="auto"/>
        <w:rPr>
          <w:sz w:val="20"/>
          <w:szCs w:val="20"/>
          <w:color w:val="auto"/>
        </w:rPr>
      </w:pPr>
      <w:r>
        <w:rPr>
          <w:rFonts w:ascii="Arial" w:cs="Arial" w:eastAsia="Arial" w:hAnsi="Arial"/>
          <w:sz w:val="17"/>
          <w:szCs w:val="17"/>
          <w:color w:val="auto"/>
        </w:rPr>
        <w:t>The assumptions we used in the valuation model are based on future expectations combined with management judgment, with inputs of numerous objective and subjective factors, to determine the fair value of ordinary shares, including the following factors:</w:t>
      </w:r>
    </w:p>
    <w:p>
      <w:pPr>
        <w:spacing w:after="0" w:line="80" w:lineRule="exact"/>
        <w:rPr>
          <w:sz w:val="20"/>
          <w:szCs w:val="20"/>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shares relative to our ordinary shares;</w:t>
      </w:r>
    </w:p>
    <w:p>
      <w:pPr>
        <w:spacing w:after="0" w:line="117"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ordinary shares underlying the share-based awards, such as an initial public offering;</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for our ordinary shares;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market performance of industry peers;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long-term inflation rate;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nominal domestic gross domestic product (GDP) growth rate applicable to China.</w:t>
      </w:r>
    </w:p>
    <w:p>
      <w:pPr>
        <w:spacing w:after="0" w:line="212"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The back-solve method is a market approach which is used to solve our implied aggregate equity value by considering the rights and preference of each class of equity and solving for the total equity value that is consistent with a recent transaction in the securities. The equity value used in valuing all of the stock option grants in 2020 were determined using the back-solve method.</w:t>
      </w:r>
    </w:p>
    <w:p>
      <w:pPr>
        <w:spacing w:after="0" w:line="203"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analysis of DCF is based on the projected cash flows using management’s best estimates as of the valuation dates. The determination of fair value requires complex and subjective judgments to be made regarding projected financial and operating results, our unique business risks, the liquidity of our shares and our operating history and prospects at the time of valuation. The major assumptions used in the DCF include:</w:t>
      </w:r>
    </w:p>
    <w:p>
      <w:pPr>
        <w:spacing w:after="0" w:line="92" w:lineRule="exact"/>
        <w:rPr>
          <w:sz w:val="20"/>
          <w:szCs w:val="20"/>
          <w:color w:val="auto"/>
        </w:rPr>
      </w:pPr>
    </w:p>
    <w:p>
      <w:pPr>
        <w:ind w:left="880" w:hanging="224"/>
        <w:spacing w:after="0" w:line="250"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Weighted average cost of capital, or WACC</w:t>
      </w:r>
      <w:r>
        <w:rPr>
          <w:rFonts w:ascii="Arial" w:cs="Arial" w:eastAsia="Arial" w:hAnsi="Arial"/>
          <w:sz w:val="18"/>
          <w:szCs w:val="18"/>
          <w:color w:val="auto"/>
        </w:rPr>
        <w:t>: The discount rates applied in the DCF were based on the WACCs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after considering factors including risk-free rate, equity risk premium, company size and other non-systematic risk factors, pre-tax cost of debt, tax rate, and capital structure based on the industry average.</w:t>
      </w:r>
    </w:p>
    <w:p>
      <w:pPr>
        <w:spacing w:after="0" w:line="82" w:lineRule="exact"/>
        <w:rPr>
          <w:rFonts w:ascii="Arial" w:cs="Arial" w:eastAsia="Arial" w:hAnsi="Arial"/>
          <w:sz w:val="18"/>
          <w:szCs w:val="18"/>
          <w:color w:val="auto"/>
        </w:rPr>
      </w:pPr>
    </w:p>
    <w:p>
      <w:pPr>
        <w:ind w:left="880" w:right="140" w:hanging="224"/>
        <w:spacing w:after="0" w:line="26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Comparable companies</w:t>
      </w:r>
      <w:r>
        <w:rPr>
          <w:rFonts w:ascii="Arial" w:cs="Arial" w:eastAsia="Arial" w:hAnsi="Arial"/>
          <w:sz w:val="18"/>
          <w:szCs w:val="18"/>
          <w:color w:val="auto"/>
        </w:rPr>
        <w:t>: In deriving the WACCs, which are used as the discount rates under the income approach, six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publicly traded companies were selected for reference as our guideline companies.</w:t>
      </w:r>
    </w:p>
    <w:p>
      <w:pPr>
        <w:spacing w:after="0" w:line="65" w:lineRule="exact"/>
        <w:rPr>
          <w:rFonts w:ascii="Arial" w:cs="Arial" w:eastAsia="Arial" w:hAnsi="Arial"/>
          <w:sz w:val="18"/>
          <w:szCs w:val="18"/>
          <w:color w:val="auto"/>
        </w:rPr>
      </w:pPr>
    </w:p>
    <w:p>
      <w:pPr>
        <w:ind w:left="880" w:right="80" w:hanging="224"/>
        <w:spacing w:after="0" w:line="258"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Discount for lack of marketability, or DLOM</w:t>
      </w:r>
      <w:r>
        <w:rPr>
          <w:rFonts w:ascii="Arial" w:cs="Arial" w:eastAsia="Arial" w:hAnsi="Arial"/>
          <w:sz w:val="17"/>
          <w:szCs w:val="17"/>
          <w:color w:val="auto"/>
        </w:rPr>
        <w:t>: Finnerty model was used to estimate the discount for lack of marketability. Under</w:t>
      </w:r>
      <w:r>
        <w:rPr>
          <w:rFonts w:ascii="Arial" w:cs="Arial" w:eastAsia="Arial" w:hAnsi="Arial"/>
          <w:sz w:val="17"/>
          <w:szCs w:val="17"/>
          <w:i w:val="1"/>
          <w:iCs w:val="1"/>
          <w:color w:val="auto"/>
        </w:rPr>
        <w:t xml:space="preserve"> </w:t>
      </w:r>
      <w:r>
        <w:rPr>
          <w:rFonts w:ascii="Arial" w:cs="Arial" w:eastAsia="Arial" w:hAnsi="Arial"/>
          <w:sz w:val="17"/>
          <w:szCs w:val="17"/>
          <w:color w:val="auto"/>
        </w:rPr>
        <w:t>Finnerty model, the cost of put option, which can hedge the price change before the privately held share can be sold, was considered as a basis to determine the lack of marketability discount. The said model is one of the commonly adopted methods in estimating DLOM as it can take into consideration factors like timing of liquidity event and estimated volatility of ours shares. The lower DLOM is used for the valuation, the higher is the determined fair value of the ordinary shares. The equity values used in valuing certain stock option grants in 2018 and 2019 were determined using the DCF method using DLOMs of 16%-17%.</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7"/>
          <w:szCs w:val="17"/>
          <w:color w:val="auto"/>
        </w:rPr>
        <w:t>The income approach involves applying appropriate discount rates to estimated cash flows that are based on earnings forecasts. The growth rates of our revenues contributed to the fair value of the shares. However, fair value is inherently uncertain and highly subjective. The assumptions used in deriving the fair value are consistent with our business plan. These assumptions include: no material changes in the existing political, legal and economic conditions in China; our ability to retain competent management, key personnel and staff to support our ongoing operations; and no material deviation in market conditions from economic forecasts. These assumptions are inherently uncertain. The risks associated with achieving forecasts were assessed in selecting the appropriate discount rates.</w:t>
      </w:r>
    </w:p>
    <w:p>
      <w:pPr>
        <w:spacing w:after="0" w:line="19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of December 31, 2020 and March 31, 2021, share-based compensation related to options of RMB91.8 million and RMB103.6 million (US$15.8 million) would be recognized immediately, respectively, if the IPO Condition had been met. As of December 31, 2020 and March 31, 2021, there were RMB124.2 million and RMB107.4 million (US$16.4 million) of total unrecognized compensation expenses related to options for the future period, respectively.</w:t>
      </w:r>
    </w:p>
    <w:p>
      <w:pPr>
        <w:spacing w:after="0" w:line="205" w:lineRule="exact"/>
        <w:rPr>
          <w:sz w:val="20"/>
          <w:szCs w:val="20"/>
          <w:color w:val="auto"/>
        </w:rPr>
      </w:pPr>
    </w:p>
    <w:p>
      <w:pPr>
        <w:jc w:val="both"/>
        <w:ind w:left="120" w:right="480" w:firstLine="551"/>
        <w:spacing w:after="0"/>
        <w:rPr>
          <w:sz w:val="20"/>
          <w:szCs w:val="20"/>
          <w:color w:val="auto"/>
        </w:rPr>
      </w:pPr>
      <w:r>
        <w:rPr>
          <w:rFonts w:ascii="Arial" w:cs="Arial" w:eastAsia="Arial" w:hAnsi="Arial"/>
          <w:sz w:val="18"/>
          <w:szCs w:val="18"/>
          <w:color w:val="auto"/>
        </w:rPr>
        <w:t>The assumptions used in share-based compensation expenses recognition represent our best estimates, but these estimates involve inherent uncertainties and the application of judgment. If factors change or different assumptions are used, the share-based compensation expenses could be materially different for any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left="120" w:right="980" w:firstLine="551"/>
        <w:spacing w:after="0" w:line="246" w:lineRule="auto"/>
        <w:rPr>
          <w:sz w:val="20"/>
          <w:szCs w:val="20"/>
          <w:color w:val="auto"/>
        </w:rPr>
      </w:pPr>
      <w:r>
        <w:rPr>
          <w:rFonts w:ascii="Arial" w:cs="Arial" w:eastAsia="Arial" w:hAnsi="Arial"/>
          <w:sz w:val="18"/>
          <w:szCs w:val="18"/>
          <w:color w:val="auto"/>
        </w:rPr>
        <w:t>A list of recently issued accounting pronouncements that are relevant to us is included in Note 2.32 “Recent accounting pronouncements” to our consolidated financial statements included elsewhere in this prospectus.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INDUSTRY</w:t>
      </w:r>
    </w:p>
    <w:p>
      <w:pPr>
        <w:spacing w:after="0" w:line="216"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i w:val="1"/>
          <w:iCs w:val="1"/>
          <w:color w:val="auto"/>
        </w:rPr>
        <w:t>The information presented in this section has been derived from an industry report dated April 21, 2021 and commissioned by us and prepared by China Insights Consultancy, or CIC, an independent research firm, to provide information regarding our industry and our market position in China.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China’s Consumer Electronics Market is Massive with Strong Growth Momentum</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Consumer electronic devices such as smartphones have become basic necessities of everyday life as our economy becomes increasingly digitalized. Continued growth of disposable income is fueling consumer electronics purchases in China. According to CIC, an independent consulting firm, annual new device shipment volume in China reached 537.8 million in 2020, which was 1.8 times of the new device shipment volume of 294.8 million in the United States, and is forecasted to reach 726.7 million by 2025. Annual new consumer electronic devices retail sales reached RMB1,904.9 billion in 2020, and is forecasted to reach RMB2,972.1 billion by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146050</wp:posOffset>
            </wp:positionV>
            <wp:extent cx="4757420" cy="22631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5742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20"/>
          </w:cols>
          <w:pgMar w:left="320" w:top="459" w:right="5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871845" cy="23914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7184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Source: CIC</w:t>
      </w:r>
    </w:p>
    <w:p>
      <w:pPr>
        <w:spacing w:after="0" w:line="15"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i w:val="1"/>
          <w:iCs w:val="1"/>
          <w:color w:val="auto"/>
        </w:rPr>
        <w:t>Note: other categories include true wireless stereo headset, smart band, smart watch, digital camera and lenses, sports camera, e-book, game console, drone, among other things.</w:t>
      </w:r>
    </w:p>
    <w:p>
      <w:pPr>
        <w:spacing w:after="0" w:line="188"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Also, updates and upgrades of consumer electronic devices are needed as the exponential growth of digital content requires ever higher computing power, faster speed, better graphics and more storage capacity. Additionally, research has shown longer screen time among Chinese users than the world average due to a greater variety of mobile internet enabled content such as live streaming, short-form videos and gaming. As a result, there is a massive, ever increasing number of consumer electronic devices in circulation in China. CIC estimates that there were 2,615.4 million consumer electronic devices in circulation that still have use value in China in 2020, which represents 3.0 times of the 868.7 million in the United States, and the volume is expected to grow to 3,221.3 million by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5846445" cy="2297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464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Source: CIC</w:t>
      </w:r>
    </w:p>
    <w:p>
      <w:pPr>
        <w:spacing w:after="0" w:line="15"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i w:val="1"/>
          <w:iCs w:val="1"/>
          <w:color w:val="auto"/>
        </w:rPr>
        <w:t>Note: other categories include true wireless stereo headset, smart band, smart watch, digital camera and lenses, sports camera, e-book, game console, drone, among other things.</w:t>
      </w:r>
    </w:p>
    <w:p>
      <w:pPr>
        <w:spacing w:after="0" w:line="188"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massive volume of consumer electronic devices in circulation in China has given rise to a thriving market for trading these devices. Currently, penetration rate of traded pre-owned consumer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60"/>
          </w:cols>
          <w:pgMar w:left="32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electronic devices relative to number of consumer electronic devices in circulation, which is calculated as: number of unique traded pre-owned devices divided by total number of devices in circulation, is still as low as 3.7% in 2020. However, this rate is expected to increase in the next five years to reach 9.4% by 2025, implying significant growth potential for the pre-owned devices transaction market. CIC estimates China’s pre-owned consumer electronics transactions and services market by total number of devices transacted to merchants and consumers to be 188.6 million in 2020, and the market is expected to grow at a 23.7% CAGR to reach 545.8 million by 2025. CIC estimates China’s pre-owned consumer electronics transactions and services market to be RMB252.2 billion in 2020 by distribution GMV to merchants and consumers, and the market is expected to grow at a 30.8% CAGR to reach RMB967.3 billion by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5983605" cy="4997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83605" cy="499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Source: CIC</w:t>
      </w:r>
    </w:p>
    <w:p>
      <w:pPr>
        <w:spacing w:after="0" w:line="15" w:lineRule="exact"/>
        <w:rPr>
          <w:sz w:val="20"/>
          <w:szCs w:val="20"/>
          <w:color w:val="auto"/>
        </w:rPr>
      </w:pPr>
    </w:p>
    <w:p>
      <w:pPr>
        <w:ind w:left="120"/>
        <w:spacing w:after="0" w:line="258" w:lineRule="auto"/>
        <w:rPr>
          <w:sz w:val="20"/>
          <w:szCs w:val="20"/>
          <w:color w:val="auto"/>
        </w:rPr>
      </w:pPr>
      <w:r>
        <w:rPr>
          <w:rFonts w:ascii="Arial" w:cs="Arial" w:eastAsia="Arial" w:hAnsi="Arial"/>
          <w:sz w:val="14"/>
          <w:szCs w:val="14"/>
          <w:i w:val="1"/>
          <w:iCs w:val="1"/>
          <w:color w:val="auto"/>
        </w:rPr>
        <w:t>Note: other categories include true wireless stereo headset, smart band, smart watch, digital camera and lenses, sports camera, e-book, game console, drone, among other things.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60"/>
          </w:cols>
          <w:pgMar w:left="320" w:top="459" w:right="5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number of factors are driving the fast growth of the pre-owned consumer electronics transactions and services market in China:</w:t>
      </w:r>
    </w:p>
    <w:p>
      <w:pPr>
        <w:spacing w:after="0" w:line="99" w:lineRule="exact"/>
        <w:rPr>
          <w:sz w:val="20"/>
          <w:szCs w:val="20"/>
          <w:color w:val="auto"/>
        </w:rPr>
      </w:pPr>
    </w:p>
    <w:p>
      <w:pPr>
        <w:ind w:left="880" w:right="80" w:hanging="224"/>
        <w:spacing w:after="0" w:line="250"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Continued growth of pre-owned devices volume</w:t>
      </w:r>
      <w:r>
        <w:rPr>
          <w:rFonts w:ascii="Arial" w:cs="Arial" w:eastAsia="Arial" w:hAnsi="Arial"/>
          <w:sz w:val="18"/>
          <w:szCs w:val="18"/>
          <w:color w:val="auto"/>
        </w:rPr>
        <w:t>. Total volume of pre-owned consumer electronic devices continues to grow.</w:t>
      </w:r>
      <w:r>
        <w:rPr>
          <w:rFonts w:ascii="Arial" w:cs="Arial" w:eastAsia="Arial" w:hAnsi="Arial"/>
          <w:sz w:val="18"/>
          <w:szCs w:val="18"/>
          <w:i w:val="1"/>
          <w:iCs w:val="1"/>
          <w:color w:val="auto"/>
        </w:rPr>
        <w:t xml:space="preserve"> </w:t>
      </w:r>
      <w:r>
        <w:rPr>
          <w:rFonts w:ascii="Arial" w:cs="Arial" w:eastAsia="Arial" w:hAnsi="Arial"/>
          <w:sz w:val="18"/>
          <w:szCs w:val="18"/>
          <w:color w:val="auto"/>
        </w:rPr>
        <w:t>Also, average selling price per device is rising as manufacturers are increasingly rolling out high-end devices featuring the latest technologies.</w:t>
      </w:r>
    </w:p>
    <w:p>
      <w:pPr>
        <w:spacing w:after="0" w:line="82" w:lineRule="exact"/>
        <w:rPr>
          <w:rFonts w:ascii="Arial" w:cs="Arial" w:eastAsia="Arial" w:hAnsi="Arial"/>
          <w:sz w:val="18"/>
          <w:szCs w:val="18"/>
          <w:color w:val="auto"/>
        </w:rPr>
      </w:pPr>
    </w:p>
    <w:p>
      <w:pPr>
        <w:ind w:left="880" w:right="20" w:hanging="224"/>
        <w:spacing w:after="0" w:line="250"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Increasing willingness to trade. </w:t>
      </w:r>
      <w:r>
        <w:rPr>
          <w:rFonts w:ascii="Arial" w:cs="Arial" w:eastAsia="Arial" w:hAnsi="Arial"/>
          <w:sz w:val="18"/>
          <w:szCs w:val="18"/>
          <w:color w:val="auto"/>
        </w:rPr>
        <w:t>People are becoming more willing to trade in and purchase pre-owned devices. This is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shift in mindset and consumption habits that results from increasing convenience and standards of pre-owned transactions and services.</w:t>
      </w:r>
    </w:p>
    <w:p>
      <w:pPr>
        <w:spacing w:after="0" w:line="82" w:lineRule="exact"/>
        <w:rPr>
          <w:rFonts w:ascii="Arial" w:cs="Arial" w:eastAsia="Arial" w:hAnsi="Arial"/>
          <w:sz w:val="18"/>
          <w:szCs w:val="18"/>
          <w:color w:val="auto"/>
        </w:rPr>
      </w:pPr>
    </w:p>
    <w:p>
      <w:pPr>
        <w:ind w:left="880" w:right="600" w:hanging="224"/>
        <w:spacing w:after="0" w:line="250"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Growing environmental awareness</w:t>
      </w:r>
      <w:r>
        <w:rPr>
          <w:rFonts w:ascii="Arial" w:cs="Arial" w:eastAsia="Arial" w:hAnsi="Arial"/>
          <w:sz w:val="18"/>
          <w:szCs w:val="18"/>
          <w:color w:val="auto"/>
        </w:rPr>
        <w:t>. Progressive environmental policy and growing environmental awareness among</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and individuals give rise to more initiatives in proper recycling and disposal of pre-owned consumer electronic devices. Leading device brands such as Apple and Xiaomi are also promoting trade-ins as ESG initiatives.</w:t>
      </w:r>
    </w:p>
    <w:p>
      <w:pPr>
        <w:spacing w:after="0" w:line="195" w:lineRule="exact"/>
        <w:rPr>
          <w:sz w:val="20"/>
          <w:szCs w:val="20"/>
          <w:color w:val="auto"/>
        </w:rPr>
      </w:pPr>
    </w:p>
    <w:p>
      <w:pPr>
        <w:ind w:left="120" w:right="500" w:firstLine="551"/>
        <w:spacing w:after="0"/>
        <w:rPr>
          <w:sz w:val="20"/>
          <w:szCs w:val="20"/>
          <w:color w:val="auto"/>
        </w:rPr>
      </w:pPr>
      <w:r>
        <w:rPr>
          <w:rFonts w:ascii="Arial" w:cs="Arial" w:eastAsia="Arial" w:hAnsi="Arial"/>
          <w:sz w:val="18"/>
          <w:szCs w:val="18"/>
          <w:color w:val="auto"/>
        </w:rPr>
        <w:t>Pre-owned consumer electronic devices transactions complement new device sales in China. Particularly, innovative forms of transacting such as trading-in used devices for new ones serve to encourage new device purchases by lowering the net cost of the purchase. Device brands are therefore embracing pre-owned devices transactions to promote sale of new models.</w:t>
      </w:r>
    </w:p>
    <w:p>
      <w:pPr>
        <w:spacing w:after="0" w:line="20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pre-owned consumer electronics transactions value chain typically contains C2B, where individual consumers turn in their devices to a dealer; B2B, where dealers trade with one another; and B2C, where dealers sell the pre-owned devices to consumers again. After a device is recycled, each step of the value chain adds a markup before it is sold to the next layer – the end buyer typically pays 60-80% more than the original recycling price. According to CIC, the typical markup is 25-30% for C2B, 25-30% for B2B, and 10-20% for B2C.</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CIC conducted a survey to gauge consumers’ interest in pre-owned mobile phones in China in 2021. Nearly 90% of the 1,000 survey respondents expressed willingness to purchase pre-owned devices in the future – when asked about their experience and interest in pre-owned devices, 44.7% chose the option “had bought pre-owned device before, willing to buy again” and 44.9% chose “never bought pre-owned device before, will consider in the future”. The main reasons for respondents’ interest in purchasing pre-owned devices include quality of up-to-date pre-owned devices being closer to new devices, higher value for money, sufficient functionality for daily use and serving as spare devices.</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survey result also demonstrates that consumers in China prefer pre-owned premium brands to new mass market brands. The respondents were asked to rank their preferences from a mix of new and pre-owned models in five price ranges. Pre-owned, higher-end models from premium brands such as Apple and Huawei are universally chosen over new devices from mass market brands such as Xiaomi, OPPO and VIVO.</w:t>
      </w:r>
    </w:p>
    <w:p>
      <w:pPr>
        <w:spacing w:after="0" w:line="205" w:lineRule="exact"/>
        <w:rPr>
          <w:sz w:val="20"/>
          <w:szCs w:val="20"/>
          <w:color w:val="auto"/>
        </w:rPr>
      </w:pPr>
    </w:p>
    <w:p>
      <w:pPr>
        <w:ind w:left="120" w:right="740" w:firstLine="551"/>
        <w:spacing w:after="0" w:line="246" w:lineRule="auto"/>
        <w:rPr>
          <w:sz w:val="20"/>
          <w:szCs w:val="20"/>
          <w:color w:val="auto"/>
        </w:rPr>
      </w:pPr>
      <w:r>
        <w:rPr>
          <w:rFonts w:ascii="Arial" w:cs="Arial" w:eastAsia="Arial" w:hAnsi="Arial"/>
          <w:sz w:val="18"/>
          <w:szCs w:val="18"/>
          <w:color w:val="auto"/>
        </w:rPr>
        <w:t>Additionally, the following factors are most cited by the survey respondents as factors that can increase their willingness to purchase pre-owned devices:</w:t>
      </w:r>
    </w:p>
    <w:p>
      <w:pPr>
        <w:spacing w:after="0" w:line="102"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Availability of professional grading report for purchasing reference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Transparent source of pre-owned devices to avoid purchasing stolen goods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Availability of additional warranty services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Robust data privacy protection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Availability of renowned platforms for transactions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Faster transaction process with offline delivery service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Challenges in the Pre-owned Consumer Electronics Industry in China</w:t>
      </w:r>
    </w:p>
    <w:p>
      <w:pPr>
        <w:spacing w:after="0" w:line="234"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Despite the massive market opportunity and growth potential for pre-owned consumer electronics transactions in China, this market is facing a number of fundamental challenges caused by a lack of industry standards.</w:t>
      </w:r>
    </w:p>
    <w:p>
      <w:pPr>
        <w:spacing w:after="0" w:line="84" w:lineRule="exact"/>
        <w:rPr>
          <w:sz w:val="20"/>
          <w:szCs w:val="20"/>
          <w:color w:val="auto"/>
        </w:rPr>
      </w:pPr>
    </w:p>
    <w:p>
      <w:pPr>
        <w:ind w:left="880" w:right="12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Lack of channels. </w:t>
      </w:r>
      <w:r>
        <w:rPr>
          <w:rFonts w:ascii="Arial" w:cs="Arial" w:eastAsia="Arial" w:hAnsi="Arial"/>
          <w:sz w:val="18"/>
          <w:szCs w:val="18"/>
          <w:color w:val="auto"/>
        </w:rPr>
        <w:t>China’s pre-owned consumer electronics transactions and services market has historically been driven by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diverse range of retailers ranging from branded stores to e-commerce platforms, offline mom-and-pop stores and small merchants without trustworthy brands. There is a lack of established channels for consumers, small merchants, retailers and consumer electronics brands to trade in and purchase pre-owned consumer electronic devices. Consumers are not aware of where and how to trade; merchants are burdened with inconsistent supply of pre-owned devices and uncertainty in selling their inventory; and retailers and brands have to source relationships with small, non-standardized trading partners around the country.</w:t>
      </w:r>
    </w:p>
    <w:p>
      <w:pPr>
        <w:spacing w:after="0" w:line="90" w:lineRule="exact"/>
        <w:rPr>
          <w:rFonts w:ascii="Arial" w:cs="Arial" w:eastAsia="Arial" w:hAnsi="Arial"/>
          <w:sz w:val="18"/>
          <w:szCs w:val="18"/>
          <w:color w:val="auto"/>
        </w:rPr>
      </w:pPr>
    </w:p>
    <w:p>
      <w:pPr>
        <w:ind w:left="880" w:right="40" w:hanging="224"/>
        <w:spacing w:after="0" w:line="245"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Inefficiency. </w:t>
      </w:r>
      <w:r>
        <w:rPr>
          <w:rFonts w:ascii="Arial" w:cs="Arial" w:eastAsia="Arial" w:hAnsi="Arial"/>
          <w:sz w:val="18"/>
          <w:szCs w:val="18"/>
          <w:color w:val="auto"/>
        </w:rPr>
        <w:t>The multi-layered value chain leads to many levels of trades among intermediaries, making the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long and inefficient. Participants in the value chain include consumer electronic brands, distributors, merchants, retailers and resellers and finally consumers. It usually takes over 25 days for a recycled device to go through all the intermediaries from initial trade-in to an end user receiving the device.</w:t>
      </w:r>
    </w:p>
    <w:p>
      <w:pPr>
        <w:spacing w:after="0" w:line="86" w:lineRule="exact"/>
        <w:rPr>
          <w:rFonts w:ascii="Arial" w:cs="Arial" w:eastAsia="Arial" w:hAnsi="Arial"/>
          <w:sz w:val="18"/>
          <w:szCs w:val="18"/>
          <w:color w:val="auto"/>
        </w:rPr>
      </w:pPr>
    </w:p>
    <w:p>
      <w:pPr>
        <w:ind w:left="880" w:right="80" w:hanging="224"/>
        <w:spacing w:after="0" w:line="250"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Opaque pricing. </w:t>
      </w:r>
      <w:r>
        <w:rPr>
          <w:rFonts w:ascii="Arial" w:cs="Arial" w:eastAsia="Arial" w:hAnsi="Arial"/>
          <w:sz w:val="18"/>
          <w:szCs w:val="18"/>
          <w:color w:val="auto"/>
        </w:rPr>
        <w:t>Information asymmetry between consumers and merchants, and sometimes among merchants themselves,</w:t>
      </w:r>
      <w:r>
        <w:rPr>
          <w:rFonts w:ascii="Arial" w:cs="Arial" w:eastAsia="Arial" w:hAnsi="Arial"/>
          <w:sz w:val="18"/>
          <w:szCs w:val="18"/>
          <w:i w:val="1"/>
          <w:iCs w:val="1"/>
          <w:color w:val="auto"/>
        </w:rPr>
        <w:t xml:space="preserve"> </w:t>
      </w:r>
      <w:r>
        <w:rPr>
          <w:rFonts w:ascii="Arial" w:cs="Arial" w:eastAsia="Arial" w:hAnsi="Arial"/>
          <w:sz w:val="18"/>
          <w:szCs w:val="18"/>
          <w:color w:val="auto"/>
        </w:rPr>
        <w:t>makes quality and price of pre-owned devices not fully transparent. The void of industry standards on quality inspection, grading and pricing leads to low confidence in quality and opaque pricing.</w:t>
      </w:r>
    </w:p>
    <w:p>
      <w:pPr>
        <w:spacing w:after="0" w:line="82" w:lineRule="exact"/>
        <w:rPr>
          <w:rFonts w:ascii="Arial" w:cs="Arial" w:eastAsia="Arial" w:hAnsi="Arial"/>
          <w:sz w:val="18"/>
          <w:szCs w:val="18"/>
          <w:color w:val="auto"/>
        </w:rPr>
      </w:pPr>
    </w:p>
    <w:p>
      <w:pPr>
        <w:ind w:left="880" w:right="300" w:hanging="224"/>
        <w:spacing w:after="0" w:line="245"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Data privacy concerns. </w:t>
      </w:r>
      <w:r>
        <w:rPr>
          <w:rFonts w:ascii="Arial" w:cs="Arial" w:eastAsia="Arial" w:hAnsi="Arial"/>
          <w:sz w:val="18"/>
          <w:szCs w:val="18"/>
          <w:color w:val="auto"/>
        </w:rPr>
        <w:t>User privacy and data protection is another area of concern that limits mass consumer adoption. As</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devices nowadays contain sensitive user data such as identity information, biometrics, travel history, and other sensitive personal information, proper cleansing of such data is critical before a pre-owned device is circulated back into the market. However, this is not guaranteed without industry standards in place.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Emergence of Transactions and Services Platforms in China</w:t>
      </w:r>
    </w:p>
    <w:p>
      <w:pPr>
        <w:spacing w:after="0" w:line="234"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In recent years, platforms for transactions and services of pre-owned consumer electronics goods have emerged in China. These platforms with their own processing capabilities help address the challenges in the industry by bringing efficiency and transparency to the market.</w:t>
      </w:r>
    </w:p>
    <w:p>
      <w:pPr>
        <w:spacing w:after="0" w:line="90" w:lineRule="exact"/>
        <w:rPr>
          <w:sz w:val="20"/>
          <w:szCs w:val="20"/>
          <w:color w:val="auto"/>
        </w:rPr>
      </w:pPr>
    </w:p>
    <w:p>
      <w:pPr>
        <w:ind w:left="880" w:right="200" w:hanging="224"/>
        <w:spacing w:after="0" w:line="250"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Effectively connecting buyers and sellers</w:t>
      </w:r>
      <w:r>
        <w:rPr>
          <w:rFonts w:ascii="Arial" w:cs="Arial" w:eastAsia="Arial" w:hAnsi="Arial"/>
          <w:sz w:val="18"/>
          <w:szCs w:val="18"/>
          <w:color w:val="auto"/>
        </w:rPr>
        <w:t>. These platforms effectively connect buyers and sellers of pre-owned devices.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consumers, merchants and retailers and brands can all find the right channels to buy or sell. This largely increases the circulation of pre-owned devices in the market.</w:t>
      </w:r>
    </w:p>
    <w:p>
      <w:pPr>
        <w:spacing w:after="0" w:line="82" w:lineRule="exact"/>
        <w:rPr>
          <w:rFonts w:ascii="Arial" w:cs="Arial" w:eastAsia="Arial" w:hAnsi="Arial"/>
          <w:sz w:val="18"/>
          <w:szCs w:val="18"/>
          <w:color w:val="auto"/>
        </w:rPr>
      </w:pPr>
    </w:p>
    <w:p>
      <w:pPr>
        <w:jc w:val="both"/>
        <w:ind w:left="880" w:right="460" w:hanging="224"/>
        <w:spacing w:after="0" w:line="250"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Reducing number of intermediaries</w:t>
      </w:r>
      <w:r>
        <w:rPr>
          <w:rFonts w:ascii="Arial" w:cs="Arial" w:eastAsia="Arial" w:hAnsi="Arial"/>
          <w:sz w:val="18"/>
          <w:szCs w:val="18"/>
          <w:color w:val="auto"/>
        </w:rPr>
        <w:t>. Buyers and sellers can find each other on the platforms and directly trade pre-owned</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This removes the multi-layered intermediaries in traditional channels, hence improving efficiency in the transaction process.</w:t>
      </w:r>
    </w:p>
    <w:p>
      <w:pPr>
        <w:spacing w:after="0" w:line="82" w:lineRule="exact"/>
        <w:rPr>
          <w:rFonts w:ascii="Arial" w:cs="Arial" w:eastAsia="Arial" w:hAnsi="Arial"/>
          <w:sz w:val="18"/>
          <w:szCs w:val="18"/>
          <w:color w:val="auto"/>
        </w:rPr>
      </w:pPr>
    </w:p>
    <w:p>
      <w:pPr>
        <w:ind w:left="880" w:right="60" w:hanging="224"/>
        <w:spacing w:after="0" w:line="245"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Bringing standards to the industry</w:t>
      </w:r>
      <w:r>
        <w:rPr>
          <w:rFonts w:ascii="Arial" w:cs="Arial" w:eastAsia="Arial" w:hAnsi="Arial"/>
          <w:sz w:val="18"/>
          <w:szCs w:val="18"/>
          <w:color w:val="auto"/>
        </w:rPr>
        <w:t>. Leading platforms have established standard practices in the industry for quality inspection,</w:t>
      </w:r>
      <w:r>
        <w:rPr>
          <w:rFonts w:ascii="Arial" w:cs="Arial" w:eastAsia="Arial" w:hAnsi="Arial"/>
          <w:sz w:val="18"/>
          <w:szCs w:val="18"/>
          <w:i w:val="1"/>
          <w:iCs w:val="1"/>
          <w:color w:val="auto"/>
        </w:rPr>
        <w:t xml:space="preserve"> </w:t>
      </w:r>
      <w:r>
        <w:rPr>
          <w:rFonts w:ascii="Arial" w:cs="Arial" w:eastAsia="Arial" w:hAnsi="Arial"/>
          <w:sz w:val="18"/>
          <w:szCs w:val="18"/>
          <w:color w:val="auto"/>
        </w:rPr>
        <w:t>grading and pricing. With industry standards in place, these platforms can control the end-to-end transaction process and enhance the services they offer. This leads to consistent quality control, significantly improved transparency in pricing and better user data protection. All of these serve to increase trust in the transaction process.</w:t>
      </w:r>
    </w:p>
    <w:p>
      <w:pPr>
        <w:spacing w:after="0" w:line="199" w:lineRule="exact"/>
        <w:rPr>
          <w:sz w:val="20"/>
          <w:szCs w:val="20"/>
          <w:color w:val="auto"/>
        </w:rPr>
      </w:pPr>
    </w:p>
    <w:p>
      <w:pPr>
        <w:ind w:left="120" w:right="720" w:firstLine="551"/>
        <w:spacing w:after="0" w:line="246" w:lineRule="auto"/>
        <w:rPr>
          <w:sz w:val="20"/>
          <w:szCs w:val="20"/>
          <w:color w:val="auto"/>
        </w:rPr>
      </w:pPr>
      <w:r>
        <w:rPr>
          <w:rFonts w:ascii="Arial" w:cs="Arial" w:eastAsia="Arial" w:hAnsi="Arial"/>
          <w:sz w:val="18"/>
          <w:szCs w:val="18"/>
          <w:color w:val="auto"/>
        </w:rPr>
        <w:t>Consumers and merchants are increasingly turning to such platforms to trade pre-owned devices due to the benefits these platforms provide. CIC estimates that approximately 13.5% of pre-owned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phone transactions in China were conducted through these platforms in 2020, and the penetration rate is expected to increase to over 20% by 2025.</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number of factors are driving further growth in total number of transactions on such platforms in China:</w:t>
      </w:r>
    </w:p>
    <w:p>
      <w:pPr>
        <w:spacing w:after="0" w:line="99" w:lineRule="exact"/>
        <w:rPr>
          <w:sz w:val="20"/>
          <w:szCs w:val="20"/>
          <w:color w:val="auto"/>
        </w:rPr>
      </w:pPr>
    </w:p>
    <w:p>
      <w:pPr>
        <w:ind w:left="880" w:right="680" w:hanging="224"/>
        <w:spacing w:after="0" w:line="26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Network effects. </w:t>
      </w:r>
      <w:r>
        <w:rPr>
          <w:rFonts w:ascii="Arial" w:cs="Arial" w:eastAsia="Arial" w:hAnsi="Arial"/>
          <w:sz w:val="18"/>
          <w:szCs w:val="18"/>
          <w:color w:val="auto"/>
        </w:rPr>
        <w:t>Growing number of buyers and sellers drives one another and reinforces the platforms as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for transaction of pre-owned devices.</w:t>
      </w:r>
    </w:p>
    <w:p>
      <w:pPr>
        <w:spacing w:after="0" w:line="65" w:lineRule="exact"/>
        <w:rPr>
          <w:rFonts w:ascii="Arial" w:cs="Arial" w:eastAsia="Arial" w:hAnsi="Arial"/>
          <w:sz w:val="18"/>
          <w:szCs w:val="18"/>
          <w:color w:val="auto"/>
        </w:rPr>
      </w:pPr>
    </w:p>
    <w:p>
      <w:pPr>
        <w:ind w:left="880" w:right="320" w:hanging="224"/>
        <w:spacing w:after="0" w:line="245"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Partnership with consumer electronics brands and e-commerce leaders. </w:t>
      </w:r>
      <w:r>
        <w:rPr>
          <w:rFonts w:ascii="Arial" w:cs="Arial" w:eastAsia="Arial" w:hAnsi="Arial"/>
          <w:sz w:val="18"/>
          <w:szCs w:val="18"/>
          <w:color w:val="auto"/>
        </w:rPr>
        <w:t>Leading platforms in China are partnering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electronics brands and major e-commerce players to increase exposure to consumers and bring in new use cases such as trading in old devices for new ones. Additionally, brands and e-commerce players are increasingly turning to such platforms to dispose unsold inventory and older models.</w:t>
      </w:r>
    </w:p>
    <w:p>
      <w:pPr>
        <w:spacing w:after="0" w:line="86" w:lineRule="exact"/>
        <w:rPr>
          <w:rFonts w:ascii="Arial" w:cs="Arial" w:eastAsia="Arial" w:hAnsi="Arial"/>
          <w:sz w:val="18"/>
          <w:szCs w:val="18"/>
          <w:color w:val="auto"/>
        </w:rPr>
      </w:pPr>
    </w:p>
    <w:p>
      <w:pPr>
        <w:ind w:left="880" w:right="460" w:hanging="224"/>
        <w:spacing w:after="0" w:line="26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Data insights. </w:t>
      </w:r>
      <w:r>
        <w:rPr>
          <w:rFonts w:ascii="Arial" w:cs="Arial" w:eastAsia="Arial" w:hAnsi="Arial"/>
          <w:sz w:val="18"/>
          <w:szCs w:val="18"/>
          <w:color w:val="auto"/>
        </w:rPr>
        <w:t>Accumulation of transaction data and user feedback helps enhance platform functions and improve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thereby attracting further adoption of these platforms.</w:t>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Landscape</w:t>
      </w:r>
    </w:p>
    <w:p>
      <w:pPr>
        <w:spacing w:after="0" w:line="234" w:lineRule="exact"/>
        <w:rPr>
          <w:sz w:val="20"/>
          <w:szCs w:val="20"/>
          <w:color w:val="auto"/>
        </w:rPr>
      </w:pPr>
    </w:p>
    <w:p>
      <w:pPr>
        <w:ind w:left="120" w:right="220" w:firstLine="551"/>
        <w:spacing w:after="0" w:line="261" w:lineRule="auto"/>
        <w:rPr>
          <w:sz w:val="20"/>
          <w:szCs w:val="20"/>
          <w:color w:val="auto"/>
        </w:rPr>
      </w:pPr>
      <w:r>
        <w:rPr>
          <w:rFonts w:ascii="Arial" w:cs="Arial" w:eastAsia="Arial" w:hAnsi="Arial"/>
          <w:sz w:val="17"/>
          <w:szCs w:val="17"/>
          <w:color w:val="auto"/>
        </w:rPr>
        <w:t>According to the CIC Report, pre-owned consumer electronics transactions and services in China is a fragmented market with a massive number of offline small-scale merchants. In 2020, the top 5 players took an aggregate market share of 11.9% in terms of distribution GMV to merchants and consumers, and 13.0% in terms of total number of devices transacted to merchants and consumers.</w:t>
      </w:r>
    </w:p>
    <w:p>
      <w:pPr>
        <w:spacing w:after="0" w:line="18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We are the largest player by both distribution GMV for electronics and total number of distribution transactions to merchants and consumers, with market share of 6.6% in terms of distribution GMV and 8.7% in terms of total number of devices transacted in 2020. We also have the largest GMV for electronics and volume for devices recycled directly from consumers in 2020. Additionally, we are the only end-to-end platform integrating C2B, B2B and B2C capabilities with both online and offline presence, according to the CIC Report.</w:t>
      </w:r>
    </w:p>
    <w:p>
      <w:pPr>
        <w:spacing w:after="0" w:line="205"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following are the key success factors determining the competitive position of transactions and services platforms for pre-owned consumer electronic devices:</w:t>
      </w:r>
    </w:p>
    <w:p>
      <w:pPr>
        <w:spacing w:after="0" w:line="84" w:lineRule="exact"/>
        <w:rPr>
          <w:sz w:val="20"/>
          <w:szCs w:val="20"/>
          <w:color w:val="auto"/>
        </w:rPr>
      </w:pPr>
    </w:p>
    <w:p>
      <w:pPr>
        <w:ind w:left="880" w:right="220" w:hanging="224"/>
        <w:spacing w:after="0" w:line="24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Effective sourcing of supply. </w:t>
      </w:r>
      <w:r>
        <w:rPr>
          <w:rFonts w:ascii="Arial" w:cs="Arial" w:eastAsia="Arial" w:hAnsi="Arial"/>
          <w:sz w:val="18"/>
          <w:szCs w:val="18"/>
          <w:color w:val="auto"/>
        </w:rPr>
        <w:t>In the pre-owned goods transaction market, supply of goods shapes the market.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for the transactions and services of pre-owned consumer electronics are able to efficiently and consistently source supply of pre-owned devices from consumers and merchants through a variety of channels, both online and offline. Due to the nature of this largely supply-driven market, those who can effectively secure supply will be well positioned in the industry.</w:t>
      </w:r>
    </w:p>
    <w:p>
      <w:pPr>
        <w:spacing w:after="0" w:line="86" w:lineRule="exact"/>
        <w:rPr>
          <w:rFonts w:ascii="Arial" w:cs="Arial" w:eastAsia="Arial" w:hAnsi="Arial"/>
          <w:sz w:val="18"/>
          <w:szCs w:val="18"/>
          <w:color w:val="auto"/>
        </w:rPr>
      </w:pPr>
    </w:p>
    <w:p>
      <w:pPr>
        <w:ind w:left="880" w:hanging="224"/>
        <w:spacing w:after="0" w:line="24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Processing capabilities at scale. </w:t>
      </w:r>
      <w:r>
        <w:rPr>
          <w:rFonts w:ascii="Arial" w:cs="Arial" w:eastAsia="Arial" w:hAnsi="Arial"/>
          <w:sz w:val="18"/>
          <w:szCs w:val="18"/>
          <w:color w:val="auto"/>
        </w:rPr>
        <w:t>Pre-owned consumer electronic devices are non-standardized products with large variations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condition and quality. Proper inspection and quality grading of these devices are needed before putting them up for sale again. Successful transactions and services platforms have in-house operation centers to inspect and grade large volumes of devices with recommended pricing for each device.</w:t>
      </w:r>
    </w:p>
    <w:p>
      <w:pPr>
        <w:spacing w:after="0" w:line="86" w:lineRule="exact"/>
        <w:rPr>
          <w:rFonts w:ascii="Arial" w:cs="Arial" w:eastAsia="Arial" w:hAnsi="Arial"/>
          <w:sz w:val="18"/>
          <w:szCs w:val="18"/>
          <w:color w:val="auto"/>
        </w:rPr>
      </w:pPr>
    </w:p>
    <w:p>
      <w:pPr>
        <w:ind w:left="880" w:right="140" w:hanging="224"/>
        <w:spacing w:after="0" w:line="250"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Scale and network effect. </w:t>
      </w:r>
      <w:r>
        <w:rPr>
          <w:rFonts w:ascii="Arial" w:cs="Arial" w:eastAsia="Arial" w:hAnsi="Arial"/>
          <w:sz w:val="18"/>
          <w:szCs w:val="18"/>
          <w:color w:val="auto"/>
        </w:rPr>
        <w:t>Scale in terms of number of buyers and sellers as well as transaction volume indicates the strength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platforms as effective channels. Once scale is established, the two-sided network effect with buyers and sellers will reinforce the platforms’ competitive moat in the market.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Opportunities for China’s Leading Platforms</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Consumer electronic devices have natural advantages for trading at the global scale. They have similar customer needs across different regions and countries. Their small size, relatively high value per item and ease of shipment also make them a top traded goods globally. The worldwide market for pre-owned consumer electronics transactions and services is 4.8 times that of China in terms of total number of devices transacted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5871845" cy="2323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71845"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Source: CIC</w:t>
      </w:r>
    </w:p>
    <w:p>
      <w:pPr>
        <w:spacing w:after="0" w:line="15" w:lineRule="exact"/>
        <w:rPr>
          <w:sz w:val="20"/>
          <w:szCs w:val="20"/>
          <w:color w:val="auto"/>
        </w:rPr>
      </w:pPr>
    </w:p>
    <w:p>
      <w:pPr>
        <w:ind w:left="120" w:right="60"/>
        <w:spacing w:after="0" w:line="258" w:lineRule="auto"/>
        <w:rPr>
          <w:sz w:val="20"/>
          <w:szCs w:val="20"/>
          <w:color w:val="auto"/>
        </w:rPr>
      </w:pPr>
      <w:r>
        <w:rPr>
          <w:rFonts w:ascii="Arial" w:cs="Arial" w:eastAsia="Arial" w:hAnsi="Arial"/>
          <w:sz w:val="14"/>
          <w:szCs w:val="14"/>
          <w:i w:val="1"/>
          <w:iCs w:val="1"/>
          <w:color w:val="auto"/>
        </w:rPr>
        <w:t>Note: other categories include true wireless stereo headset, smart band, smart watch, digital camera and lenses, sports camera, e-book, game console, drone, among other things.</w:t>
      </w:r>
    </w:p>
    <w:p>
      <w:pPr>
        <w:spacing w:after="0" w:line="188"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The global value chain of pre-owned consumer electronics is more centralized compared to China. In developed markets, telecommunication operators such as AT&amp;T and Verizon, and retailers, such as Walmart and Best Buy, process the majority of device trade-ins—their customers usually trade in old devices when renewing service plans or buying new devices from them. Devices recycled from developed markets flow into major global trading hubs including Miami, Hong Kong SAR and Dubai, where they are sold in wholesale to regional distributors and dealers offline. Eventually most of these pre-owned devices are sold to end users in developing economies.</w:t>
      </w:r>
    </w:p>
    <w:p>
      <w:pPr>
        <w:spacing w:after="0" w:line="19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With wholesale as the main form of transaction, the global pre-owned consumer electronics value chain is unsophisticated and inefficient. This stems from the fact that quality inspection are mostly manual and therefore cannot be accurately performed due to time constraints, technical limitations, and high labor cost. The lack of quality inspection with granularity leads to devices that are graded in bulk only suitable for wholesale transactions, as opposed to by-device transactions. In addition, digital platforms for pre-owned devices do not exist in the global market. Hence, there is a lack of algorithm-enabled pricing, resulting in a slow feedback loop for pricing. The void of digital platforms also implies multi-layered intermediaries that create inefficiencies and frictions in the transaction process.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China is one of the global hubs for trading pre-owned consumer electronics products. According to the CIC Report, nearly 30% of world’s pre -owned smartphones are traded through Hong Kong SAR to the global markets. Leading transactions and services platforms in China with expertise in digital operations and capabilities in mass device inspection, grading and pricing have the opportunity to disrupt the global value chain and expand their footprint worldwide. Their existing technologies and capabilities, accumulated from and refined by the enormous transaction volumes in China, can be easily extended to the global markets.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BUSINESS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give a second life to all idle goods.</w:t>
      </w:r>
    </w:p>
    <w:p>
      <w:pPr>
        <w:spacing w:after="0" w:line="212" w:lineRule="exact"/>
        <w:rPr>
          <w:sz w:val="20"/>
          <w:szCs w:val="20"/>
          <w:color w:val="auto"/>
        </w:rPr>
      </w:pPr>
    </w:p>
    <w:p>
      <w:pPr>
        <w:ind w:left="120" w:right="200" w:firstLine="551"/>
        <w:spacing w:after="0" w:line="257" w:lineRule="auto"/>
        <w:rPr>
          <w:sz w:val="20"/>
          <w:szCs w:val="20"/>
          <w:color w:val="auto"/>
        </w:rPr>
      </w:pPr>
      <w:r>
        <w:rPr>
          <w:rFonts w:ascii="Arial" w:cs="Arial" w:eastAsia="Arial" w:hAnsi="Arial"/>
          <w:sz w:val="17"/>
          <w:szCs w:val="17"/>
          <w:color w:val="auto"/>
        </w:rPr>
        <w:t>We founded our company with the belief that environmental problems can be addressed while achieving commercial success. Since inception, we have transformed the pre-owned consumer electronics industry in China by facilitating recycle and trade-in services and further grown the industry by connecting and empowering all participants in the ecosystem. We remain excited about pursuing our mission and will leverage our platform and technology to continue to standardize mass-market pre-owned consumer goods.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Vision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enable pre-owned consumer electronics transactions and services globally by leveraging technology.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We Are</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are the largest pre-owned consumer electronics transactions and services platform in China in terms of GMV for electronics and the number of devices transacted by merchants and consumers, with a market share of 6.6% and 8.7% in terms of GMV for electronics and number of devices transacted, respectively, in 2020, according to the CIC Report. Our GMV for electronics and number of devices transacted on our platform for the year ended December 31, 2020 were both greater than the next five largest platforms combined, according to the CIC Report. Total GMV transacted on our platform was RMB22.8 billion and the number of consumer products transacted on our platform was 26.1 million for the twelve months ended March 31, 2021, representing year-over-year growth from the twelve months ended March 31, 2020 of 66.1% and 46.6%, respectively. Total GMV transacted on our platform was RMB6.2 billion and the number of consumer products transacted on our platform was 6.4 million for the three months ended March 31, 2021, representing year-over-year growth from the three months ended March 31, 2020 of 106.7% and 68.4%, respectively.</w:t>
      </w:r>
    </w:p>
    <w:p>
      <w:pPr>
        <w:spacing w:after="0" w:line="207"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We have created the infrastructure for pre-owned consumer electronics transactions and services by digitalizing and standardizing the industry, with a strong focus on mobile phones. According to the CIC Report, we created the first inspection, grading and pricing processes that helped standardize the pre-owned consumer electronics industry. While core to our success is our ability to effectively source supply, our offerings today span the entire value chain for pre-owned consumer electronics. We were founded in 2011 as a consumer-oriented single service provider focused on efficiently sourcing electronic devices through AHS Recycle, China’s leading online and offline offering for recycle and trade-in services primarily for reuse. We have since evolved to an integrated transactions and services platform through the addition of PJT Marketplace, China’s leading B2B marketplace for trading electronic products and services, in late 2017. We further extended our capabilities to mass retail consumers through Paipai Marketplace, a retail marketplace for pre-owned products of certified quality which we acquired from JD Group in 2019. Starting from 2019, we have been increasing our international presence as well. With these offerings, we have reinvented how consumers, small merchants, consumer electronics brands, e-commerce platforms and retailers sell and purchase pre-owned consumer electronics. Over time, we hope to empower more participants, both in China and the rest of the world, to partake in the pre-owned electronics circulation ecosystem.</w:t>
      </w:r>
    </w:p>
    <w:p>
      <w:pPr>
        <w:spacing w:after="0" w:line="204"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Our platform digitally integrates every step of the value chain. We obtain supply of pre-owned consumer electronics, process devices for resale using proprietary inspection, grading, and pricing</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52" w:lineRule="auto"/>
        <w:rPr>
          <w:sz w:val="20"/>
          <w:szCs w:val="20"/>
          <w:color w:val="auto"/>
        </w:rPr>
      </w:pPr>
      <w:r>
        <w:rPr>
          <w:rFonts w:ascii="Arial" w:cs="Arial" w:eastAsia="Arial" w:hAnsi="Arial"/>
          <w:sz w:val="17"/>
          <w:szCs w:val="17"/>
          <w:color w:val="auto"/>
        </w:rPr>
        <w:t>technologies in our operation centers, and distribute processed devices to a variety of purchasers. We transact with consumers and small merchants at both the supply and demand sides of the value chain, ensuring that a diversity of participants have access to our platform. Through end-to-end coverage of the value chain and supply and demand participation supported by our quality and pricing benchmarks, we believe we set the standard for the industry in China. Our platform is frequently used by consumers and small merchants throughout the country for quality ratings and listing prices of pre-owned products before transacting. We leverage an online and offline presence to extend the reach of our platform. As of March 31, 2021, we operated 753 AHS stores throughout China. In 2020 and the three months ended March 31, 2021, out of all consumer products transacted on our platform, 67.7% and 69.7% were mobile phones, respectively, while the remaining were other electronics such as laptops, tablets and digital cameras, luxury goods, household items and books.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Opportunities in China for Creating a Pre-owned Consumer Electronics Infrastructure</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Without effective recycling standards and channels, consumer electronic devices are often discarded after a short life cycle. In China, annual new device shipment volume reached 538 million in 2020, according to the CIC Report. Discarded devices pollute the environment and have impacted people’s daily lives. Additionally, though some individuals desire pre-owned devices, there are few trusted channels to purchase high-quality and reliable pre-owned devices. We are the only sizable online pre-owned consumer electronics transactions and services platform that provides quality warranty services, according to the CIC Report. As for offline channels, small merchants are incapable of trading high-quality pre-owned devices consistently absent of the necessary inspection and pricing endorsement from reputable platforms. In addition, consumers themselves are unable to distinguish the difference in credibility among various merchants.</w:t>
      </w:r>
    </w:p>
    <w:p>
      <w:pPr>
        <w:spacing w:after="0" w:line="208" w:lineRule="exact"/>
        <w:rPr>
          <w:sz w:val="20"/>
          <w:szCs w:val="20"/>
          <w:color w:val="auto"/>
        </w:rPr>
      </w:pPr>
    </w:p>
    <w:p>
      <w:pPr>
        <w:ind w:left="120" w:right="260" w:firstLine="551"/>
        <w:spacing w:after="0" w:line="238" w:lineRule="auto"/>
        <w:rPr>
          <w:sz w:val="20"/>
          <w:szCs w:val="20"/>
          <w:color w:val="auto"/>
        </w:rPr>
      </w:pPr>
      <w:r>
        <w:rPr>
          <w:rFonts w:ascii="Arial" w:cs="Arial" w:eastAsia="Arial" w:hAnsi="Arial"/>
          <w:sz w:val="18"/>
          <w:szCs w:val="18"/>
          <w:color w:val="auto"/>
        </w:rPr>
        <w:t>We believe increasing the volume and speed of circulation of pre-owned consumer electronics is the solution to these problems. Our business emerged due to the inherent differences in the consumer electronics market between China and the rest of the world. We believe there is no better market in which to create the infrastructure for pre-owned devices than China given the following defining characteristics:</w:t>
      </w:r>
    </w:p>
    <w:p>
      <w:pPr>
        <w:spacing w:after="0" w:line="92" w:lineRule="exact"/>
        <w:rPr>
          <w:sz w:val="20"/>
          <w:szCs w:val="20"/>
          <w:color w:val="auto"/>
        </w:rPr>
      </w:pPr>
    </w:p>
    <w:p>
      <w:pPr>
        <w:ind w:left="880" w:right="20" w:hanging="224"/>
        <w:spacing w:after="0" w:line="245"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Largest consumer electronics market globally: </w:t>
      </w:r>
      <w:r>
        <w:rPr>
          <w:rFonts w:ascii="Arial" w:cs="Arial" w:eastAsia="Arial" w:hAnsi="Arial"/>
          <w:sz w:val="18"/>
          <w:szCs w:val="18"/>
          <w:color w:val="auto"/>
        </w:rPr>
        <w:t>According to the CIC Report, China has the world’s largest number of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devices in circulation in 2020, greater than that in the United States and Europe combined. More devices and more frequent roll-out of new models lead to more frequent replacements and more pre-owned goods as a result. This creates a larger market opportunity for pre-owned consumer electronics.</w:t>
      </w:r>
    </w:p>
    <w:p>
      <w:pPr>
        <w:spacing w:after="0" w:line="86" w:lineRule="exact"/>
        <w:rPr>
          <w:rFonts w:ascii="Arial" w:cs="Arial" w:eastAsia="Arial" w:hAnsi="Arial"/>
          <w:sz w:val="18"/>
          <w:szCs w:val="18"/>
          <w:color w:val="auto"/>
        </w:rPr>
      </w:pPr>
    </w:p>
    <w:p>
      <w:pPr>
        <w:ind w:left="880" w:right="40" w:hanging="224"/>
        <w:spacing w:after="0" w:line="242"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More fragmented supply of pre-owned consumer electronics: </w:t>
      </w:r>
      <w:r>
        <w:rPr>
          <w:rFonts w:ascii="Arial" w:cs="Arial" w:eastAsia="Arial" w:hAnsi="Arial"/>
          <w:sz w:val="18"/>
          <w:szCs w:val="18"/>
          <w:color w:val="auto"/>
        </w:rPr>
        <w:t>According to the CIC Report, China has many more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electronics brands than the United States, with fewer dominant brands and a greater variety of product models. Sales channels are also more fragmented in China. Mobile phones are available for purchase at a diverse range of retailers ranging from branded stores to e-commerce platforms, offline mom-and-pop stores and small merchants. Fragmentation of supply creates the opportunity to aggregate access to pre-owned devices on a single platform.</w:t>
      </w:r>
    </w:p>
    <w:p>
      <w:pPr>
        <w:spacing w:after="0" w:line="90" w:lineRule="exact"/>
        <w:rPr>
          <w:rFonts w:ascii="Arial" w:cs="Arial" w:eastAsia="Arial" w:hAnsi="Arial"/>
          <w:sz w:val="18"/>
          <w:szCs w:val="18"/>
          <w:color w:val="auto"/>
        </w:rPr>
      </w:pPr>
    </w:p>
    <w:p>
      <w:pPr>
        <w:ind w:left="880" w:right="60" w:hanging="224"/>
        <w:spacing w:after="0" w:line="241"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More varied consumer purchase patterns: </w:t>
      </w:r>
      <w:r>
        <w:rPr>
          <w:rFonts w:ascii="Arial" w:cs="Arial" w:eastAsia="Arial" w:hAnsi="Arial"/>
          <w:sz w:val="18"/>
          <w:szCs w:val="18"/>
          <w:color w:val="auto"/>
        </w:rPr>
        <w:t>Consumers in the United States frequently acquire mobile phones from mobile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operators or large retailers bundled with service contracts. Trade-ins often happen when renewing those contracts, resulting in a centralized recycling network. Meanwhile, consumers in China typically acquire mobile phones without service contracts. The lack of trade-in at contract renewal decentralizes the recycling ecosystem and diversifies the supply of pre-owned devices in China. In this diverse retail environment, trade-ins are processed inefficiently and with limited scale. This opens an opportunity for an advanced platform to facilitate recycling and the sale of pre-owned devices.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right="4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Greater consumer demand for pre-owned goods: </w:t>
      </w:r>
      <w:r>
        <w:rPr>
          <w:rFonts w:ascii="Arial" w:cs="Arial" w:eastAsia="Arial" w:hAnsi="Arial"/>
          <w:sz w:val="18"/>
          <w:szCs w:val="18"/>
          <w:color w:val="auto"/>
        </w:rPr>
        <w:t>With a much lower disposable income per capita of US$4,983 in China</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US$52,997 in the United States in 2020, according to the CIC Report, demand for value-for-money pre-owned consumer electronic products is much stronger in China than in more developed economies. As a result, China’s economy has a greater degree of reuse and internal circulation compared to more developed economies, where procured pre-owned consumer electronics are typically exported overseas. Internal circulation of goods leads to the creation of a complex, multi-regional value-chain dedicated to recycling and transacting pre-owned goods throughout China. The existence of this largely offline and traditional value-chain creates the need for the standardization of pre-owned goods transactions and services.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These characteristics have created tremendous and growing market opportunities in China to address pre-owned consumer electronics transactions and services. According to the CIC Report, 189 million pre-owned devices were transacted to merchants and individual buyers in 2020 with RMB252 billion in total GMV distributed to merchants and buyers. The defining characteristics of the industry will propel its rapid growth to 546 million pre-owned devices or RMB967 billion of total GMV by 2025, representing CAGRs of 24% and 31%, respectively. We believe we are uniquely positioned to capture this growing market opportunity due to the infrastructure we have created that digitalizes and standardizes the pre-owned consumer electronics industry.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Platform</w:t>
      </w:r>
    </w:p>
    <w:p>
      <w:pPr>
        <w:spacing w:after="0" w:line="126" w:lineRule="exact"/>
        <w:rPr>
          <w:sz w:val="20"/>
          <w:szCs w:val="20"/>
          <w:color w:val="auto"/>
        </w:rPr>
      </w:pPr>
    </w:p>
    <w:p>
      <w:pPr>
        <w:ind w:left="120" w:right="80" w:firstLine="551"/>
        <w:spacing w:after="0" w:line="274" w:lineRule="auto"/>
        <w:rPr>
          <w:sz w:val="20"/>
          <w:szCs w:val="20"/>
          <w:color w:val="auto"/>
        </w:rPr>
      </w:pPr>
      <w:r>
        <w:rPr>
          <w:rFonts w:ascii="Arial" w:cs="Arial" w:eastAsia="Arial" w:hAnsi="Arial"/>
          <w:sz w:val="17"/>
          <w:szCs w:val="17"/>
          <w:color w:val="auto"/>
        </w:rPr>
        <w:t>We believe the key to capturing the tremendous opportunity in the pre-owned consumer electronics market in China is the creation of a new infrastructure defined by end-to-end coverage of the value chain and standardization of inspection, grading, and pricing.</w:t>
      </w:r>
    </w:p>
    <w:p>
      <w:pPr>
        <w:spacing w:after="0" w:line="62" w:lineRule="exact"/>
        <w:rPr>
          <w:sz w:val="20"/>
          <w:szCs w:val="20"/>
          <w:color w:val="auto"/>
        </w:rPr>
      </w:pPr>
    </w:p>
    <w:p>
      <w:pPr>
        <w:ind w:left="880" w:right="120" w:hanging="224"/>
        <w:spacing w:after="0" w:line="242"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Aggregated Diverse Supply</w:t>
      </w:r>
      <w:r>
        <w:rPr>
          <w:rFonts w:ascii="Arial" w:cs="Arial" w:eastAsia="Arial" w:hAnsi="Arial"/>
          <w:sz w:val="18"/>
          <w:szCs w:val="18"/>
          <w:color w:val="auto"/>
        </w:rPr>
        <w:t>: AHS Recycle, our omni-channel business and household brand for the collection of pre-owned</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electronics, sources supply from consumers. Consumers can sell their pre-owned consumer electronics at any of our online portals or offline locations, or through our strategic partners, including JD.com and Kuaishou. AHS Recycle is central to our strategy of obtaining supply, after which devices are processed in our own operation centers and then resold primarily for reuse through our other offerings including PJT Marketplace and Paipai Marketplace.</w:t>
      </w:r>
    </w:p>
    <w:p>
      <w:pPr>
        <w:spacing w:after="0" w:line="90" w:lineRule="exact"/>
        <w:rPr>
          <w:rFonts w:ascii="Arial" w:cs="Arial" w:eastAsia="Arial" w:hAnsi="Arial"/>
          <w:sz w:val="18"/>
          <w:szCs w:val="18"/>
          <w:color w:val="auto"/>
        </w:rPr>
      </w:pPr>
    </w:p>
    <w:p>
      <w:pPr>
        <w:ind w:left="880" w:right="440" w:hanging="224"/>
        <w:spacing w:after="0" w:line="267"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Efficient Demand Fulfillment: </w:t>
      </w:r>
      <w:r>
        <w:rPr>
          <w:rFonts w:ascii="Arial" w:cs="Arial" w:eastAsia="Arial" w:hAnsi="Arial"/>
          <w:sz w:val="18"/>
          <w:szCs w:val="18"/>
          <w:color w:val="auto"/>
        </w:rPr>
        <w:t>Given the success of AHS Recycle and our proven ability to obtain supply, we launched PJT</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 and Paipai Marketplace to improve the circulation of pre-owned consumer electronics on our platform.</w:t>
      </w:r>
    </w:p>
    <w:p>
      <w:pPr>
        <w:spacing w:after="0" w:line="83" w:lineRule="exact"/>
        <w:rPr>
          <w:rFonts w:ascii="Arial" w:cs="Arial" w:eastAsia="Arial" w:hAnsi="Arial"/>
          <w:sz w:val="18"/>
          <w:szCs w:val="18"/>
          <w:color w:val="auto"/>
        </w:rPr>
      </w:pPr>
    </w:p>
    <w:p>
      <w:pPr>
        <w:ind w:left="1420" w:right="160" w:hanging="211"/>
        <w:spacing w:after="0" w:line="238" w:lineRule="auto"/>
        <w:tabs>
          <w:tab w:leader="none" w:pos="1420" w:val="left"/>
        </w:tabs>
        <w:numPr>
          <w:ilvl w:val="1"/>
          <w:numId w:val="73"/>
        </w:numPr>
        <w:rPr>
          <w:rFonts w:ascii="Arial" w:cs="Arial" w:eastAsia="Arial" w:hAnsi="Arial"/>
          <w:sz w:val="15"/>
          <w:szCs w:val="15"/>
          <w:color w:val="auto"/>
        </w:rPr>
      </w:pPr>
      <w:r>
        <w:rPr>
          <w:rFonts w:ascii="Arial" w:cs="Arial" w:eastAsia="Arial" w:hAnsi="Arial"/>
          <w:sz w:val="18"/>
          <w:szCs w:val="18"/>
          <w:color w:val="auto"/>
        </w:rPr>
        <w:t>PJT Marketplace, founded in late 2017, enables small merchants to acquire pre-owned consumer electronics and retailers, typically in the telecom and phone-retail industries, to bid-for, win, and purchase pre-owned consumer electronics. PJT Marketplace also leverages our proprietary inspection, grading and pricing capabilities and extends this recycling infrastructure to the broader industry, which allows small merchants on the selling side to facilitate their own trade-in programs and pre-owned consumer electronics transactions.</w:t>
      </w:r>
    </w:p>
    <w:p>
      <w:pPr>
        <w:spacing w:after="0" w:line="107" w:lineRule="exact"/>
        <w:rPr>
          <w:rFonts w:ascii="Arial" w:cs="Arial" w:eastAsia="Arial" w:hAnsi="Arial"/>
          <w:sz w:val="15"/>
          <w:szCs w:val="15"/>
          <w:color w:val="auto"/>
        </w:rPr>
      </w:pPr>
    </w:p>
    <w:p>
      <w:pPr>
        <w:ind w:left="1420" w:right="80" w:hanging="211"/>
        <w:spacing w:after="0"/>
        <w:tabs>
          <w:tab w:leader="none" w:pos="1420" w:val="left"/>
        </w:tabs>
        <w:numPr>
          <w:ilvl w:val="1"/>
          <w:numId w:val="73"/>
        </w:numPr>
        <w:rPr>
          <w:rFonts w:ascii="Arial" w:cs="Arial" w:eastAsia="Arial" w:hAnsi="Arial"/>
          <w:sz w:val="15"/>
          <w:szCs w:val="15"/>
          <w:color w:val="auto"/>
        </w:rPr>
      </w:pPr>
      <w:r>
        <w:rPr>
          <w:rFonts w:ascii="Arial" w:cs="Arial" w:eastAsia="Arial" w:hAnsi="Arial"/>
          <w:sz w:val="18"/>
          <w:szCs w:val="18"/>
          <w:color w:val="auto"/>
        </w:rPr>
        <w:t>Paipai Marketplace, acquired in 2019 from JD Group, enables consumers to buy quality pre-owned consumer goods with ease and convenience. Over time, Paipai Marketplace has expanded to inspect and sell pre-owned goods in verticals outside of electronics, such as luxury goods, household items and books.</w:t>
      </w:r>
    </w:p>
    <w:p>
      <w:pPr>
        <w:spacing w:after="0" w:line="90" w:lineRule="exact"/>
        <w:rPr>
          <w:rFonts w:ascii="Arial" w:cs="Arial" w:eastAsia="Arial" w:hAnsi="Arial"/>
          <w:sz w:val="15"/>
          <w:szCs w:val="15"/>
          <w:color w:val="auto"/>
        </w:rPr>
      </w:pPr>
    </w:p>
    <w:p>
      <w:pPr>
        <w:jc w:val="both"/>
        <w:ind w:left="880" w:right="40" w:hanging="224"/>
        <w:spacing w:after="0" w:line="250"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Standardized Inspection, Grading, and Pricing</w:t>
      </w:r>
      <w:r>
        <w:rPr>
          <w:rFonts w:ascii="Arial" w:cs="Arial" w:eastAsia="Arial" w:hAnsi="Arial"/>
          <w:sz w:val="18"/>
          <w:szCs w:val="18"/>
          <w:color w:val="auto"/>
        </w:rPr>
        <w:t>: As of March 31, 2021, we operated seven centralized operation centers and 23</w:t>
      </w:r>
      <w:r>
        <w:rPr>
          <w:rFonts w:ascii="Arial" w:cs="Arial" w:eastAsia="Arial" w:hAnsi="Arial"/>
          <w:sz w:val="18"/>
          <w:szCs w:val="18"/>
          <w:i w:val="1"/>
          <w:iCs w:val="1"/>
          <w:color w:val="auto"/>
        </w:rPr>
        <w:t xml:space="preserve"> </w:t>
      </w:r>
      <w:r>
        <w:rPr>
          <w:rFonts w:ascii="Arial" w:cs="Arial" w:eastAsia="Arial" w:hAnsi="Arial"/>
          <w:sz w:val="18"/>
          <w:szCs w:val="18"/>
          <w:color w:val="auto"/>
        </w:rPr>
        <w:t>city-level operation stations equipped with proprietary data-driven processing technologies, including a fully automated center in Changzhou, China.</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37" w:lineRule="auto"/>
        <w:rPr>
          <w:sz w:val="20"/>
          <w:szCs w:val="20"/>
          <w:color w:val="auto"/>
        </w:rPr>
      </w:pPr>
      <w:r>
        <w:rPr>
          <w:rFonts w:ascii="Arial" w:cs="Arial" w:eastAsia="Arial" w:hAnsi="Arial"/>
          <w:sz w:val="18"/>
          <w:szCs w:val="18"/>
          <w:color w:val="auto"/>
        </w:rPr>
        <w:t>Devices sourced from AHS Recycle and PJT Marketplace that are eventually resold on PJT Marketplace and Paipai Marketplace pass through these centers for inspection, grading and pricing. This standardized processing creates widely accepted benchmarks for quality and pricing in the industry. According to the CIC Report, prior to the introduction of our grading and pricing mechanism, offline small merchants lacked access to standardized market quotes for pre-owned consumer electronics. According to the CIC Report, in 2020, approximately 70% of offline small merchants chose to refer to the grading and pricing mechanism from AHS Recycle and PJT Marketplace for their pre-owned consumer electronics trading operations, which we believe showcases the widely accepted benchmark we have created in the industry.</w:t>
      </w:r>
    </w:p>
    <w:p>
      <w:pPr>
        <w:spacing w:after="0" w:line="90" w:lineRule="exact"/>
        <w:rPr>
          <w:sz w:val="20"/>
          <w:szCs w:val="20"/>
          <w:color w:val="auto"/>
        </w:rPr>
      </w:pPr>
    </w:p>
    <w:p>
      <w:pPr>
        <w:ind w:left="880" w:right="140" w:hanging="224"/>
        <w:spacing w:after="0" w:line="239"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Complementary Services</w:t>
      </w:r>
      <w:r>
        <w:rPr>
          <w:rFonts w:ascii="Arial" w:cs="Arial" w:eastAsia="Arial" w:hAnsi="Arial"/>
          <w:sz w:val="18"/>
          <w:szCs w:val="18"/>
          <w:color w:val="auto"/>
        </w:rPr>
        <w:t>: We provide an increasing variety of services to ecosystem participants to make our platform a one-stop destination for pre-owned consumer electronics. Consumers benefit from in-store value-added services at our AHS stores such as data migration and data erasing, introduction of third-party phone screen maintenance service, instant repair, power bank rental and accessories purchase. Small merchants also have access to modularized offerings on our platform, such as testing and certification through our operation centers, our auction and bidding infrastructure, enhanced fulfillment services and consignment sales. Additionally, our comprehensive trade-in solutions help support phone brands’ trade-in programs, by handling their backend collection of devices and improving their online and offline marketing capabilities, thereby increasing the number of new devices sold.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diagram below illustrates the major components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086475" cy="2674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8647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w:t>
      </w:r>
    </w:p>
    <w:p>
      <w:pPr>
        <w:spacing w:after="0" w:line="15"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As of March 31, 2021; (2) According to the CIC Report</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Value Propositions</w:t>
      </w:r>
    </w:p>
    <w:p>
      <w:pPr>
        <w:spacing w:after="0" w:line="12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Our platform brings value to all participants in the consumer electronics ecosystem. By creating industry standards, we have made transactions and services for pre-owned consumer electronics more user-friendly, efficient, transparent, secure, and environmentally friendly and socially beneficial.</w:t>
      </w:r>
    </w:p>
    <w:p>
      <w:pPr>
        <w:spacing w:after="0" w:line="90" w:lineRule="exact"/>
        <w:rPr>
          <w:sz w:val="20"/>
          <w:szCs w:val="20"/>
          <w:color w:val="auto"/>
        </w:rPr>
      </w:pPr>
    </w:p>
    <w:p>
      <w:pPr>
        <w:ind w:left="880" w:right="440" w:hanging="224"/>
        <w:spacing w:after="0" w:line="26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User-friendly</w:t>
      </w:r>
      <w:r>
        <w:rPr>
          <w:rFonts w:ascii="Arial" w:cs="Arial" w:eastAsia="Arial" w:hAnsi="Arial"/>
          <w:sz w:val="18"/>
          <w:szCs w:val="18"/>
          <w:color w:val="auto"/>
        </w:rPr>
        <w:t>. Our control of supply and demand channels for pre-owned consumer electronics both online and offline has</w:t>
      </w:r>
      <w:r>
        <w:rPr>
          <w:rFonts w:ascii="Arial" w:cs="Arial" w:eastAsia="Arial" w:hAnsi="Arial"/>
          <w:sz w:val="18"/>
          <w:szCs w:val="18"/>
          <w:i w:val="1"/>
          <w:iCs w:val="1"/>
          <w:color w:val="auto"/>
        </w:rPr>
        <w:t xml:space="preserve"> </w:t>
      </w:r>
      <w:r>
        <w:rPr>
          <w:rFonts w:ascii="Arial" w:cs="Arial" w:eastAsia="Arial" w:hAnsi="Arial"/>
          <w:sz w:val="18"/>
          <w:szCs w:val="18"/>
          <w:color w:val="auto"/>
        </w:rPr>
        <w:t>made it easier for participants to take part in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60"/>
        <w:spacing w:after="0" w:line="238" w:lineRule="auto"/>
        <w:rPr>
          <w:sz w:val="20"/>
          <w:szCs w:val="20"/>
          <w:color w:val="auto"/>
        </w:rPr>
      </w:pPr>
      <w:r>
        <w:rPr>
          <w:rFonts w:ascii="Arial" w:cs="Arial" w:eastAsia="Arial" w:hAnsi="Arial"/>
          <w:sz w:val="18"/>
          <w:szCs w:val="18"/>
          <w:color w:val="auto"/>
        </w:rPr>
        <w:t>ecosystem. Those looking to sell devices can do so online through our website, mobile app, or key partnerships with e-commerce platforms such as JD.com and content community and social platforms such as Kuaishou, or offline at our 753 AHS stores and our over 1,500 self-service kiosks as of March 31, 2021. Those looking to purchase pre-owned devices can do so easily through PJT Marketplace or Paipai Marketplace. Our platform has become a go-to destination for those looking to sell or buy pre-owned devices.</w:t>
      </w:r>
    </w:p>
    <w:p>
      <w:pPr>
        <w:spacing w:after="0" w:line="90" w:lineRule="exact"/>
        <w:rPr>
          <w:sz w:val="20"/>
          <w:szCs w:val="20"/>
          <w:color w:val="auto"/>
        </w:rPr>
      </w:pPr>
    </w:p>
    <w:p>
      <w:pPr>
        <w:ind w:left="880" w:right="200" w:hanging="224"/>
        <w:spacing w:after="0" w:line="260" w:lineRule="auto"/>
        <w:tabs>
          <w:tab w:leader="none" w:pos="88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Efficient</w:t>
      </w:r>
      <w:r>
        <w:rPr>
          <w:rFonts w:ascii="Arial" w:cs="Arial" w:eastAsia="Arial" w:hAnsi="Arial"/>
          <w:sz w:val="17"/>
          <w:szCs w:val="17"/>
          <w:color w:val="auto"/>
        </w:rPr>
        <w:t>. The digital nature and end-to-end coverage of our platform has reduced the number of intermediaries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required from trade-in to eventual purchase of a pre-owned device. Our ability to obtain supply, process devices, then resell devices quickly has made the turnaround time of devices much faster than industry average and improved the economics for device sellers and purchasers. Our processing time for inspection, grading and pricing for each device before shipping takes approximately three days, while that of competitors takes up to ten days or longer, according to the CIC Report.</w:t>
      </w:r>
    </w:p>
    <w:p>
      <w:pPr>
        <w:spacing w:after="0" w:line="75" w:lineRule="exact"/>
        <w:rPr>
          <w:rFonts w:ascii="Arial" w:cs="Arial" w:eastAsia="Arial" w:hAnsi="Arial"/>
          <w:sz w:val="17"/>
          <w:szCs w:val="17"/>
          <w:color w:val="auto"/>
        </w:rPr>
      </w:pPr>
    </w:p>
    <w:p>
      <w:pPr>
        <w:ind w:left="880" w:right="140" w:hanging="224"/>
        <w:spacing w:after="0" w:line="245"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Transparent</w:t>
      </w:r>
      <w:r>
        <w:rPr>
          <w:rFonts w:ascii="Arial" w:cs="Arial" w:eastAsia="Arial" w:hAnsi="Arial"/>
          <w:sz w:val="18"/>
          <w:szCs w:val="18"/>
          <w:color w:val="auto"/>
        </w:rPr>
        <w:t>. Participants in our ecosystem trust transacting pre-owned consumer electronic devices on our platform,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consistent pricing based on our proprietary inspection and grading process and standardized metrics. Our nationwide footprint of AHS stores also helps build our brand recognition and provides users with a unique in-store experience, all of which make transacting on our platform easy, trustworthy and transparent.</w:t>
      </w:r>
    </w:p>
    <w:p>
      <w:pPr>
        <w:spacing w:after="0" w:line="86" w:lineRule="exact"/>
        <w:rPr>
          <w:rFonts w:ascii="Arial" w:cs="Arial" w:eastAsia="Arial" w:hAnsi="Arial"/>
          <w:sz w:val="18"/>
          <w:szCs w:val="18"/>
          <w:color w:val="auto"/>
        </w:rPr>
      </w:pPr>
    </w:p>
    <w:p>
      <w:pPr>
        <w:ind w:left="880" w:right="180" w:hanging="224"/>
        <w:spacing w:after="0" w:line="245"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Secure</w:t>
      </w:r>
      <w:r>
        <w:rPr>
          <w:rFonts w:ascii="Arial" w:cs="Arial" w:eastAsia="Arial" w:hAnsi="Arial"/>
          <w:sz w:val="18"/>
          <w:szCs w:val="18"/>
          <w:color w:val="auto"/>
        </w:rPr>
        <w:t>. We take immense pride in our commitment to data privacy protection. We maintain a stringent data clearance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mandatory data erasing before devices enter our operation centers and data erasing in front of our customers who transact in stores. We believe our focus on data privacy protection removes one of consumers’ key concerns with taking part in the pre-owned consumer electronics ecosystem, and will benefit the continual growth of our platform.</w:t>
      </w:r>
    </w:p>
    <w:p>
      <w:pPr>
        <w:spacing w:after="0" w:line="86" w:lineRule="exact"/>
        <w:rPr>
          <w:rFonts w:ascii="Arial" w:cs="Arial" w:eastAsia="Arial" w:hAnsi="Arial"/>
          <w:sz w:val="18"/>
          <w:szCs w:val="18"/>
          <w:color w:val="auto"/>
        </w:rPr>
      </w:pPr>
    </w:p>
    <w:p>
      <w:pPr>
        <w:ind w:left="880" w:right="180" w:hanging="224"/>
        <w:spacing w:after="0" w:line="245"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Environmentally Friendly and Socially Beneficial</w:t>
      </w:r>
      <w:r>
        <w:rPr>
          <w:rFonts w:ascii="Arial" w:cs="Arial" w:eastAsia="Arial" w:hAnsi="Arial"/>
          <w:sz w:val="18"/>
          <w:szCs w:val="18"/>
          <w:color w:val="auto"/>
        </w:rPr>
        <w:t>. Our platform reduces electronic waste by prolonging the life cycle of</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devices. We also foster the global circulation of certified pre-owned devices, particularly to international markets with strong demand for value-for-money products. We believe that the global circulation of certified pre-owned devices helps everyone in developing economies gain equal access to the benefits of technology.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Innovation and Technology</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Innovation and technology are at the core of our company and permeate every aspect of our operations.</w:t>
      </w:r>
    </w:p>
    <w:p>
      <w:pPr>
        <w:spacing w:after="0" w:line="212"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Our innovations in testing tools help us obtain supply and empower others to participate in the pre-owned consumer electronics transactions. Our self-service trade-in kiosks allow devices to be inspected and display a fair sale price within two minutes. We also have proprietary inspection terminals to help small merchants inspect the need for parts replacement, functionality, battery life, or many other key features quickly and accurately.</w:t>
      </w:r>
    </w:p>
    <w:p>
      <w:pPr>
        <w:spacing w:after="0" w:line="205"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Our operation centers are equipped with proprietary technology to assist the inspection, grading, and pricing of devices. Our AI and machine-learning driven algorithms leverage data from millions of transactions, thousands of device models, and millions of device sellers and buyers to refine our quality inspection, grading and pricing.</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technological strengths in big data analytics improve the day-to-day operations of our AHS stores as well. We apply intelligent store management systems to capture key in-store footprints which we analyze to standardize customer service offerings and manage risk of theft or malpractice. This operational know-how also helps us select sites for new AHS store openings.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Scale and Financial Performance</w:t>
      </w:r>
    </w:p>
    <w:p>
      <w:pPr>
        <w:spacing w:after="0" w:line="126" w:lineRule="exact"/>
        <w:rPr>
          <w:sz w:val="20"/>
          <w:szCs w:val="20"/>
          <w:color w:val="auto"/>
        </w:rPr>
      </w:pPr>
    </w:p>
    <w:p>
      <w:pPr>
        <w:ind w:left="120" w:right="440" w:firstLine="551"/>
        <w:spacing w:after="0" w:line="248" w:lineRule="auto"/>
        <w:rPr>
          <w:sz w:val="20"/>
          <w:szCs w:val="20"/>
          <w:color w:val="auto"/>
        </w:rPr>
      </w:pPr>
      <w:r>
        <w:rPr>
          <w:rFonts w:ascii="Arial" w:cs="Arial" w:eastAsia="Arial" w:hAnsi="Arial"/>
          <w:sz w:val="17"/>
          <w:szCs w:val="17"/>
          <w:color w:val="auto"/>
        </w:rPr>
        <w:t>We have experienced substantial growth since our inception in 2011. We operate an inventory-led e-commerce platform that generates product revenue from the sale of pre-owned goods, primarily pre-owned consumer electronics, as well as e-commerce marketplaces that generate services revenue from third-party sales of devices over our platform. In 2020, we had approximately 23.6 million consumer products transacted, which represented an increase of 48.4% from 15.9 million of consumer products transacted in</w:t>
      </w:r>
    </w:p>
    <w:p>
      <w:pPr>
        <w:spacing w:after="0" w:line="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2019. In the three months ended March 31, 2021, we had approximately 6.4 million consumer products transacted, which represented an increase of 68.4% from 3.8 million of consumer products transacted in the same period of 2020. The number of consumer products transacted in 2020 contributed to GMV of RMB19.6 billion, representing a 60.7% growth from RMB12.2 billion of GMV in 2019. The number of consumer products transacted in the three months ended March 31, 2021 contributed to GMV of RMB6.2 billion, representing a 106.7% growth from RMB3.0 billion of GMV in the same period of 2020.</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Our net revenue increased by 20.6% from RMB3,261.5 million in 2018 to RMB3,931.9 million in 2019, and further by 23.6% to RMB4,858.2 million (US$741.5 million) in 2020. Our net revenue increased by 118.8% from RMB692.2 million in the three months ended March 31, 2020 to RMB1514.4 million (US$231.1 million) in the same period of 2021. Our loss from operations was RMB256.5 million, RMB731.8 million, RMB458.8 million (US$70.0 million) and RMB111.4 million (US$17.0 million) in 2018, 2019, 2020 and the three months ended March 31, 2021, respectively. Our adjusted loss from operations, a non-GAAP financial measure, was RMB232.8 million, RMB535.2 million, RMB143.7 million (US$21.9 million) and RMB33.6 million (US$5.1 million) in 2018, 2019, 2020 and the three months ended March 31, 2021, respectively. We recorded net loss of RMB207.9 million, RMB704.9 million, RMB470.6 million (US$ 71.8 million) and RMB94.8 million (US$14.5 million) in 2018, 2019, 2020 and the three months ended March 31, 2021, respectively. Our adjusted net loss, a non-GAAP financial measure, was RMB210.0 million, RMB538.4 million, RMB202.8 million (US$31.0 million) and RMB36.4 million (US$5.6 million) in 2018, 2019, 2020 and the three months ended March 31, 2021, respectively. See “Summary Consolidated Financial and Operating Data—Non-GAAP Financial Measures.”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following competitive strengths contribute to our success and set us apart from our competitors: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China’s largest pre-owned consumer electronics transactions and services platform</w:t>
      </w:r>
    </w:p>
    <w:p>
      <w:pPr>
        <w:spacing w:after="0" w:line="126" w:lineRule="exact"/>
        <w:rPr>
          <w:sz w:val="20"/>
          <w:szCs w:val="20"/>
          <w:color w:val="auto"/>
        </w:rPr>
      </w:pPr>
    </w:p>
    <w:p>
      <w:pPr>
        <w:ind w:left="120" w:right="260" w:firstLine="551"/>
        <w:spacing w:after="0" w:line="236" w:lineRule="auto"/>
        <w:rPr>
          <w:sz w:val="20"/>
          <w:szCs w:val="20"/>
          <w:color w:val="auto"/>
        </w:rPr>
      </w:pPr>
      <w:r>
        <w:rPr>
          <w:rFonts w:ascii="Arial" w:cs="Arial" w:eastAsia="Arial" w:hAnsi="Arial"/>
          <w:sz w:val="18"/>
          <w:szCs w:val="18"/>
          <w:color w:val="auto"/>
        </w:rPr>
        <w:t>We are the largest pre-owned consumer electronics transactions and services platform in China in terms of GMV for electronics and number of devices transacted, according to the CIC Report, with greater GMV for electronics and number of devices transacted for the twelve months ended March 31, 2021 than the next five largest platforms combined. Our scale is further demonstrated across a number of key metrics. In 2020 and the three months ended March 31, 2021, 23.6 million and 6.4 million consumer products were transacted on our platform</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Our AHS Recycle is a household brand in China. As of March 31, 2021, we operated 753 AHS stores, primarily in shopping malls with heavy foot traffic, and over 1,500 self-service kiosks in authorized phone retailers’ stores, which established our offline presence in 172 cities. We operated 393, 716 and 731 AHS stores as of December 31, 2018, 2019 and 2020, respectively, and had an offline presence in 93, 142 and 171 cities across China, respectively.</w:t>
      </w:r>
    </w:p>
    <w:p>
      <w:pPr>
        <w:spacing w:after="0" w:line="208"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scale we have achieved is attributable to the breadth of our platform. We provide a variety of trade-in solutions for consumers, small merchants, consumer electronic brands, e-commerce platforms and retailers. We leverage state-of-the-art quality inspection, grading and pricing technologies to</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process devices that are traded-in through our platform and eventually resold. We are a go-to destination to purchase pre-owned devices for consumers and merchants through our online marketplaces and partnerships with e-commerce platforms such as JD.com and content community and social platforms such as Kuaishou. We also provide a number of value-added services online and offline to the participants on our platform including device data cleansing, logistics support, and after-sales services to buyers such as warranty and return services. Our leading scale and offerings have made us the preeminent platform for pre-owned consumer electronics transactions and services in China.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Pioneer in developing industry infrastructure and standards</w:t>
      </w:r>
    </w:p>
    <w:p>
      <w:pPr>
        <w:spacing w:after="0" w:line="126" w:lineRule="exact"/>
        <w:rPr>
          <w:sz w:val="20"/>
          <w:szCs w:val="20"/>
          <w:color w:val="auto"/>
        </w:rPr>
      </w:pPr>
    </w:p>
    <w:p>
      <w:pPr>
        <w:ind w:left="120" w:right="500" w:firstLine="551"/>
        <w:spacing w:after="0"/>
        <w:rPr>
          <w:sz w:val="20"/>
          <w:szCs w:val="20"/>
          <w:color w:val="auto"/>
        </w:rPr>
      </w:pPr>
      <w:r>
        <w:rPr>
          <w:rFonts w:ascii="Arial" w:cs="Arial" w:eastAsia="Arial" w:hAnsi="Arial"/>
          <w:sz w:val="18"/>
          <w:szCs w:val="18"/>
          <w:color w:val="auto"/>
        </w:rPr>
        <w:t>We have created a new infrastructure for pre-owned consumer electronics transactions and services in China defined by our end-to-end coverage in the value chain and the enhanced service quality we offer. We are a pioneer in building this infrastructure as, according to the CIC Report, we were the first company in China to:</w:t>
      </w:r>
    </w:p>
    <w:p>
      <w:pPr>
        <w:spacing w:after="0" w:line="108" w:lineRule="exact"/>
        <w:rPr>
          <w:sz w:val="20"/>
          <w:szCs w:val="20"/>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extend digital trade-in capabilities to offline recycling locations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collaborate with consumer electronics brands to enhance trade-in capabilities and increase sales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enable small merchants to take part in a digital pre-owned consumer electronics transactions and services platform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define the industry through standardized inspection, grading, and pricing processes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leverage our domestic capabilities to expand overseas</w:t>
      </w:r>
    </w:p>
    <w:p>
      <w:pPr>
        <w:spacing w:after="0" w:line="212"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infrastructure we have created is enabled by our end-to-end coverage over the pre-owned consumer electronics value chain, from sourcing supply to processing devices to facilitating demand. Our leading sourcing network provides unmatched access to device supply from dispersed channels. We process devices using our proprietary inspection, grading, and pricing technologies which prepare collected devices for resale. Finally, we efficiently distribute pre-owned consumer electronics collected and processed by us to consumer and small merchant buyers.</w:t>
      </w:r>
    </w:p>
    <w:p>
      <w:pPr>
        <w:spacing w:after="0" w:line="202"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This end-to-end coverage has created widely accepted industry standards. According to the CIC Report, we are the go-to platform to trade in and purchase pre-owned devices, and the devices transacted and serviced on our platform set new industry standards for quality and pricing. Our operation centers assign quality scores amongst a gradient of 40 different tiers. According to the CIC Report, we provide the most comprehensive inspection process in the industry with 20% more inspection points than the next competitor. Leveraging data insights from thousands of device models, millions of past transactions, and millions of consumer and merchant customers, we maintain a dynamic pricing matrix that also accurately assigns a price based on a given quality score. Our inspection, grading and pricing system is standardizing the industry.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Unique supply and demand flywheel driving continuous growth</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we capture unparalleled supply and demand for pre-owned consumer electronics.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Our leading supply sourcing covers diversified transaction scenarios and channels. We have a fully omni-channel sourcing network, which includes our website, mobile app, mobile mini programs, AHS stores and kiosks with broad coverage from top- to lower-tier cities. Our online presence enhances our accessibility and broadens our audience, while our offline presence strengthens our brand awareness, provides additional clarity to the trade-in process, and creates an important layer of</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interpersonal trust in the trade-in process. In a consumer survey conducted by CIC, around 85% of the respondents believe our company offers a better transaction experience than other channels, both online and offline. We also partner with key supply sources which include consumer channels such as JD.com, for whom we have been processing their “one-stop trade-in” services since 2019, and Kuaishou, on whose platform we process recycle and trade-in transactions. We are also one of Kuaishou’s certification and inspection service providers. Our partners also include major smart-phone and other consumer electronic brands and select mobile network operators for whom we process their trade-in offerings, creating a wide and dispersed network from which we source devices to establish our industry leading supply control.</w:t>
      </w:r>
    </w:p>
    <w:p>
      <w:pPr>
        <w:spacing w:after="0" w:line="203"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Our leading demand fulfillment drives efficiency in the value chain by serving a wide range of buyers and by offering a wide range of devices across a broad quality spectrum. We sell to small merchant purchasers through our PJT Marketplace and also consumers through our Paipai Marketplace. Through both we offer a range of device quality from premium to middle- and lower- tiers. PJT Marketplace has allowed us to scale our platform by fulfilling the significant demand for pre-owned consumer electronics from small merchants nationwide. Our fast device processing time of approximately three days fulfills demand efficiently. Paipai Marketplace has allowed us to extend our reach to consumers nationwide, completing a closed-loop that begins with sourcing supply from consumers and now also facilitates demand from consumers.</w:t>
      </w:r>
    </w:p>
    <w:p>
      <w:pPr>
        <w:spacing w:after="0" w:line="20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No other platform has as many or as diverse channels for pre-owned consumer electronics, according to the CIC Report. As we source more pre-owned devices, the data insights generated from increased scale make our inspection, grading, and pricing more accurate and reliable. These improved standards reduce processing time and make the entire transaction process more efficient, leading to better transactions and services experiences that bring more demand to our platform. Our unique access to supply and demand strengthens the flywheel that will continue to propel our future growth.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and innovative technologies</w:t>
      </w:r>
    </w:p>
    <w:p>
      <w:pPr>
        <w:spacing w:after="0" w:line="126"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We have digitalized the pre-owned consumer electronics transactions and services value chain, and we leverage technology in everything that we do.</w:t>
      </w:r>
    </w:p>
    <w:p>
      <w:pPr>
        <w:spacing w:after="0" w:line="197" w:lineRule="exact"/>
        <w:rPr>
          <w:sz w:val="20"/>
          <w:szCs w:val="20"/>
          <w:color w:val="auto"/>
        </w:rPr>
      </w:pPr>
    </w:p>
    <w:p>
      <w:pPr>
        <w:ind w:left="120" w:right="260" w:firstLine="551"/>
        <w:spacing w:after="0" w:line="237" w:lineRule="auto"/>
        <w:rPr>
          <w:sz w:val="20"/>
          <w:szCs w:val="20"/>
          <w:color w:val="auto"/>
        </w:rPr>
      </w:pPr>
      <w:r>
        <w:rPr>
          <w:rFonts w:ascii="Arial" w:cs="Arial" w:eastAsia="Arial" w:hAnsi="Arial"/>
          <w:sz w:val="18"/>
          <w:szCs w:val="18"/>
          <w:color w:val="auto"/>
        </w:rPr>
        <w:t>We believe that our technological strength is defined by our sourcing technologies, as well as our inspection, grading and pricing technologies. Our sourcing technologies empower merchants to inspect devices and facilitate trade-ins. We launched DeviceHero, our proprietary inspection terminal that is the size of a power bank and helps small merchants inspect the need for parts replacement, functionality, battery life, and many other key features of pre-owned devices in three minutes. We have also deployed over 1,500 automated self-service phone trade-in kiosks throughout the country, primarily through cooperation with major phone brands, to help brands process trade-ins and ultimately increase their sales. The technology in these automated kiosks allows used devices to be inspected and displays a sale price within two minutes.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adopted a proprietary automated inspection, grading and pricing system that is highly accurate and increasingly automated, which has been our core technological strength since 2017. We apply higher level of scrutiny on devices traded in from certain customers based on their previous transaction behavior on our platform. Our operation centers which leverage automated inspection systems are able to assign quality grading to pre-owned devices on scale significantly faster and cheaper than manual checks. As a result, we achieve superior efficiency for our inspection, grading and pricing process. Our processing time of inspection, grading and pricing for each device before shipping takes approximately three days, while that of competitors takes up to ten days or longer, according to the CIC Report.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have created a highly accurate AI and machine learning driven smart pricing model to ensure pricing objectiveness for each device transacted on our platform. We train machine learning and deep learning models with data from thousands of phone models, millions of transactions, and the purchasing behavior of millions of consumers and small merchants that transact on our platform, including buyers’ willingness to pay, to accurately price devices. On average, the difference between the suggested listing price we give for auctions and actual transaction price on PJT Marketplace was approximately 3% in the first quarter of 2021.</w:t>
      </w:r>
    </w:p>
    <w:p>
      <w:pPr>
        <w:spacing w:after="0" w:line="202" w:lineRule="exact"/>
        <w:rPr>
          <w:sz w:val="20"/>
          <w:szCs w:val="20"/>
          <w:color w:val="auto"/>
        </w:rPr>
      </w:pPr>
    </w:p>
    <w:p>
      <w:pPr>
        <w:jc w:val="both"/>
        <w:ind w:left="120" w:right="140" w:firstLine="551"/>
        <w:spacing w:after="0" w:line="238" w:lineRule="auto"/>
        <w:rPr>
          <w:sz w:val="20"/>
          <w:szCs w:val="20"/>
          <w:color w:val="auto"/>
        </w:rPr>
      </w:pPr>
      <w:r>
        <w:rPr>
          <w:rFonts w:ascii="Arial" w:cs="Arial" w:eastAsia="Arial" w:hAnsi="Arial"/>
          <w:sz w:val="18"/>
          <w:szCs w:val="18"/>
          <w:color w:val="auto"/>
        </w:rPr>
        <w:t>We also apply an intelligent store management system across our AHS stores. Every aspect of our store operations is digitalized, from physical device collection to sales processes, inventory management and staff management. These technological features allow us to enhance the efficiency of our store operations and overall service quality, and as a result improve customer satisfaction. Furthermore, the digitalization of store management allows us to roll out new stores strategically and scale up our total store count across China more rapidly.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Highly synergistic relationship with JD Group</w:t>
      </w:r>
    </w:p>
    <w:p>
      <w:pPr>
        <w:spacing w:after="0" w:line="126"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We have a deep and mutually beneficial relationship with JD Group, our largest shareholder, that is highly synergistic to both our and JD Group’s operations.</w:t>
      </w:r>
    </w:p>
    <w:p>
      <w:pPr>
        <w:spacing w:after="0" w:line="179"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 xml:space="preserve">We strategically cooperate with JD Group where we handle all of </w:t>
      </w:r>
      <w:r>
        <w:rPr>
          <w:rFonts w:ascii="Arial" w:cs="Arial" w:eastAsia="Arial" w:hAnsi="Arial"/>
          <w:sz w:val="18"/>
          <w:szCs w:val="18"/>
          <w:i w:val="1"/>
          <w:iCs w:val="1"/>
          <w:color w:val="auto"/>
        </w:rPr>
        <w:t>JD.com</w:t>
      </w:r>
      <w:r>
        <w:rPr>
          <w:rFonts w:ascii="Arial" w:cs="Arial" w:eastAsia="Arial" w:hAnsi="Arial"/>
          <w:sz w:val="18"/>
          <w:szCs w:val="18"/>
          <w:color w:val="auto"/>
        </w:rPr>
        <w:t xml:space="preserve">’s transactions of pre-owned mobile phones, laptops, tablets, digital cameras and certain other electronics on the consumer end, and at the same time our own online and offline properties benefit from </w:t>
      </w:r>
      <w:r>
        <w:rPr>
          <w:rFonts w:ascii="Arial" w:cs="Arial" w:eastAsia="Arial" w:hAnsi="Arial"/>
          <w:sz w:val="18"/>
          <w:szCs w:val="18"/>
          <w:i w:val="1"/>
          <w:iCs w:val="1"/>
          <w:color w:val="auto"/>
        </w:rPr>
        <w:t>JD.com</w:t>
      </w:r>
      <w:r>
        <w:rPr>
          <w:rFonts w:ascii="Arial" w:cs="Arial" w:eastAsia="Arial" w:hAnsi="Arial"/>
          <w:sz w:val="18"/>
          <w:szCs w:val="18"/>
          <w:color w:val="auto"/>
        </w:rPr>
        <w:t xml:space="preserve">’s large and active consumer traffic, particularly in consumer electronics. We provide JD Group with the trade-in infrastructure, such as our inspection, grading and pricing technologies, for JD Group to offer its customers “one-stop trade-in” services. This offering allows JD Group to further incentivize consumers to buy new devices on its platforms. We also provide to JD Group offline capabilities through our large nationwide AHS store network. In turn, we leverage </w:t>
      </w:r>
      <w:r>
        <w:rPr>
          <w:rFonts w:ascii="Arial" w:cs="Arial" w:eastAsia="Arial" w:hAnsi="Arial"/>
          <w:sz w:val="18"/>
          <w:szCs w:val="18"/>
          <w:i w:val="1"/>
          <w:iCs w:val="1"/>
          <w:color w:val="auto"/>
        </w:rPr>
        <w:t>JD.com</w:t>
      </w:r>
      <w:r>
        <w:rPr>
          <w:rFonts w:ascii="Arial" w:cs="Arial" w:eastAsia="Arial" w:hAnsi="Arial"/>
          <w:sz w:val="18"/>
          <w:szCs w:val="18"/>
          <w:color w:val="auto"/>
        </w:rPr>
        <w:t>’s millions of active buyers as a source of consumer traffic.</w:t>
      </w:r>
    </w:p>
    <w:p>
      <w:pPr>
        <w:spacing w:after="0" w:line="203"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 xml:space="preserve">Our Paipai Marketplace was acquired from JD Group in 2019 and we continue to cooperate strongly with JD Group in areas such as direct access to the Paipai Marketplace through the </w:t>
      </w:r>
      <w:r>
        <w:rPr>
          <w:rFonts w:ascii="Arial" w:cs="Arial" w:eastAsia="Arial" w:hAnsi="Arial"/>
          <w:sz w:val="18"/>
          <w:szCs w:val="18"/>
          <w:i w:val="1"/>
          <w:iCs w:val="1"/>
          <w:color w:val="auto"/>
        </w:rPr>
        <w:t>JD.com</w:t>
      </w:r>
      <w:r>
        <w:rPr>
          <w:rFonts w:ascii="Arial" w:cs="Arial" w:eastAsia="Arial" w:hAnsi="Arial"/>
          <w:sz w:val="18"/>
          <w:szCs w:val="18"/>
          <w:color w:val="auto"/>
        </w:rPr>
        <w:t xml:space="preserve"> website and app.</w:t>
      </w:r>
    </w:p>
    <w:p>
      <w:pPr>
        <w:spacing w:after="0" w:line="197" w:lineRule="exact"/>
        <w:rPr>
          <w:sz w:val="20"/>
          <w:szCs w:val="20"/>
          <w:color w:val="auto"/>
        </w:rPr>
      </w:pPr>
    </w:p>
    <w:p>
      <w:pPr>
        <w:ind w:left="120" w:right="460" w:firstLine="551"/>
        <w:spacing w:after="0"/>
        <w:rPr>
          <w:sz w:val="20"/>
          <w:szCs w:val="20"/>
          <w:color w:val="auto"/>
        </w:rPr>
      </w:pPr>
      <w:r>
        <w:rPr>
          <w:rFonts w:ascii="Arial" w:cs="Arial" w:eastAsia="Arial" w:hAnsi="Arial"/>
          <w:sz w:val="18"/>
          <w:szCs w:val="18"/>
          <w:color w:val="auto"/>
        </w:rPr>
        <w:t>We also work with JD Group on new business initiatives, including helping JD Group launch new product categories using the “one-stop trade-in” program. We also collaborate with JD Group on other business functions, such as shared marketing resources, research and development resources, logistics capabilities, customer service and after-sales services.</w:t>
      </w:r>
    </w:p>
    <w:p>
      <w:pPr>
        <w:spacing w:after="0" w:line="203"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plan to further strengthen our partnership with JD Group. In 2019, we renewed the business cooperation agreement initially signed in 2015 with JD Group to a general term of five years and with certain areas of cooperation extending to six years.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Visionary, entrepreneurial management team continually innovating and transforming the industry</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led by Mr. Kerry Xuefeng Chen and our founding team who began our business in 2011 and have shaped the industry ever since. Mr. Chen has led our business and built the management team to execute our mission and vision. He has overseen the rapid growth of our platform including the evolution from a single service provider to a holistic transactions and services platform through the launch, acquisition, and integration of PJT Marketplace and Paipai Marketplace. He has proactively addressed industry-wide challenges to achieve our continued growth and success.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Our broader management team brings with them a host of diverse experiences. Our management team includes executives with deep backgrounds in consumer electronics as well as e-commerce in China such as JD Group. The combination of diverse backgrounds enables us to continually innovate and transform the pre-owned consumer electronics industry.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Strategies</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have advanced the pre-owned consumer electronics transactions and services industry since our inception in 2011. Our strategies aim to further grow our business as well as increase the overall penetration and circulation of pre-owned devices in China and globally. To accomplish this, we will leverage the strengths and capabilities of our integrated platform to achieve organic growth, and also actively look for new opportunities to expand our service offerings, geographical coverage and distribution channels.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sources of supply and continue to empower pre-owned consumer electronics industry participants</w:t>
      </w:r>
    </w:p>
    <w:p>
      <w:pPr>
        <w:spacing w:after="0" w:line="126" w:lineRule="exact"/>
        <w:rPr>
          <w:sz w:val="20"/>
          <w:szCs w:val="20"/>
          <w:color w:val="auto"/>
        </w:rPr>
      </w:pPr>
    </w:p>
    <w:p>
      <w:pPr>
        <w:jc w:val="both"/>
        <w:ind w:left="120" w:right="440" w:firstLine="551"/>
        <w:spacing w:after="0"/>
        <w:rPr>
          <w:sz w:val="20"/>
          <w:szCs w:val="20"/>
          <w:color w:val="auto"/>
        </w:rPr>
      </w:pPr>
      <w:r>
        <w:rPr>
          <w:rFonts w:ascii="Arial" w:cs="Arial" w:eastAsia="Arial" w:hAnsi="Arial"/>
          <w:sz w:val="18"/>
          <w:szCs w:val="18"/>
          <w:color w:val="auto"/>
        </w:rPr>
        <w:t>We remain steadfast in transforming the industry and extending our platform by serving the supply end of the value chain. By increasing the supply of pre-owned consumer electronics that are traded-in, processed and sold on our platform, we will enhance the penetration and circulation of pre-owned consumer electronics in China.</w:t>
      </w:r>
    </w:p>
    <w:p>
      <w:pPr>
        <w:spacing w:after="0" w:line="203"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We will further expand our offline network of AHS stores and self-service kiosks to accomplish this, which will also expand our offline services as well. Our AHS stores are primarily distributed across top-tier cities. We believe that increasing the density of our offline coverage, especially in lower-tier cities across China, presents a meaningful opportunity to increase the supply on our platform as well as improve our brand recognition for consumers nation-wide.</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By leveraging our technological capabilities, we aim to further empower small merchants and consumers through PJT Marketplace and Paipai Marketplace to increase the supply on our platform. We will provide small merchants and consumers proprietary technologies that enable accepting trade-in devices. This will increase the number of small merchants and consumers on our platform as well as the number of consumer products transacted on our platform.</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Expanding and deepening our cooperation with partners remains a key focus for our future growth. We have recently expanded our supply partners by signing a business cooperation framework agreement with a term of 36 months with a PRC affiliate of Kuaishou, which provides our business with an exclusive designated access point in Kuaishou’s in-app Kwai Shop to process recycle and trade-in transactions of pre-owned mobile phones through its platform. The agreement also leverages our certification and inspection processes for pre-owned devices sold on Kuaishou. We plan to further strengthen our relationships with key partners, including Kuaishou, and pursue a stronger partnership with JD Group to advance the “one-stop trade-in” program. Doing so will make electronics trade-in even easier for consumers and make trade-in-and-upgrade a more default method while purchasing new electronics. We also plan to further collaborate with JD Group to expand our co-branded recycle store network. In addition, we plan to strengthen our capabilities to provide comprehensive full life-cycle services to JD Group’s users covering pre-sale, sales and post-sales processes. We believe that these collaboration efforts with JD Group will help expand the supply on our platform.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Further strengthen the industry infrastructure and our ability to define industry standards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intend to further define industry standards for pre-owned consumer electronics transactions and services.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plan to introduce new value-added services to deepen our relationship with participants across the pre-owned consumer electronics value chain, such as cell phone repair or refurbished-phone sales. These new services will allow our platform to capture more use-cases in the electronics ecosystem, adding to the infrastructure which we have created.</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We will also invest in our operation capabilities, including building more operation centers and further automating existing ones. This investment will improve the accuracy, speed, and cost-effectiveness with which we can apply our proprietary inspection, grading, and pricing technologies to more pre-owned devices. More devices with our quality control and pricing will advance industry infrastructure, and the continuous improvement in our operation capabilities from more investments made, more experience accumulated and more data collected will further define industry standards.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demand by broadening our consumer and merchant reach and other distribution channels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increase the number of consumers and small merchants to whom we sell pre-owned consumer electronic devices.</w:t>
      </w:r>
    </w:p>
    <w:p>
      <w:pPr>
        <w:spacing w:after="0" w:line="21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To increase the number of consumers that come to Paipai Marketplace to purchase pre-owned devices, we will further strengthen our cooperation with JD Group regarding traffic sharing. This will give our platform access to a greater percentage of JD Group’s large, active buyer base. Expansion of distribution channels will also create new growth opportunities for us. We intend to cooperate with leading live-streaming platforms that are increasingly focused on e-commerce. These partnerships will increase the number of consumers that come to our platform. In addition, we also plan to strengthen the distribution channels of Paipai Marketplace, by opening more boutique offline retail stores to reach more customers across the country.</w:t>
      </w:r>
    </w:p>
    <w:p>
      <w:pPr>
        <w:spacing w:after="0" w:line="205"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To increase the number of small merchants that come to PJT Marketplace to purchase pre-owned devices, we plan to expand further into lower-tier cities in China. This will attract more buyers and sellers to participate in the recycling ecosystem which will in turn increase our addressable market. We will also collaborate with offline retailers looking to purchase pre-owned devices, bringing additional demand to our platform. Finally, we will expand the spectrum of services and increase the depth of services we provide to small merchants, in order to attract more buyers and sellers to our recycling ecosystem.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Continue to improve our technology capabilities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We aim to strengthen the technology capabilities of our platform. We plan to upgrade existing and introduce new automation technologies at our operation centers. We will invest in inspection, testing and warehousing technologies such as intelligent sensors and automated vertical warehousing. Further automated operation centers will decrease labor costs and increase inspection efficiency and accuracy.</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technological capability to price devices accurately is our key competitive advantage and serves as our growth engine. We will further optimize our pricing engine by continuing to leverage the data insights from more devices processed, more transactions completed, and more consumers and small merchants who participated on our platform. This will make our assigned pricing more accurate to those who trade in and purchase on our platform, attracting more consumers and merchants.</w:t>
      </w:r>
    </w:p>
    <w:p>
      <w:pPr>
        <w:spacing w:after="0" w:line="205"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In addition, we plan to become more data-driven in all aspects of our operations. Our AHS stores will operate more efficiently as we trace more offline operation footprints and leverage data insights to improve in-store management and customer service.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 our international presence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believe that most international markets lack quality inspection and pricing standards for pre-owned consumer electronics similar to those in China before we began to standardize the industry. Meanwhile, international markets have tremendous demand for pre-owned consumer electronics as a value-for-money option to enjoy the benefits of technology. In order to capture this robust growth opportunity, we intend to expand the international presence of our business.</w:t>
      </w:r>
    </w:p>
    <w:p>
      <w:pPr>
        <w:spacing w:after="0" w:line="205"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plan to leverage our technology and service offerings to collaborate with international mobile network operators and device resellers. We will extend our industry standards and trade-in processes internationally to allow emerging markets such as Southeast Asia, Latin America and Africa, to benefit from the trade-in infrastructure we have created in China.</w:t>
      </w:r>
    </w:p>
    <w:p>
      <w:pPr>
        <w:spacing w:after="0" w:line="20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also plan to increase the global circulation of pre-owned devices from China by selling to international device resellers. We believe there is significant demand for pre-owned devices in international markets, and selling to these markets will meaningfully increase the volume of devices transacted on our platform.</w:t>
      </w:r>
    </w:p>
    <w:p>
      <w:pPr>
        <w:spacing w:after="0" w:line="203" w:lineRule="exact"/>
        <w:rPr>
          <w:sz w:val="20"/>
          <w:szCs w:val="20"/>
          <w:color w:val="auto"/>
        </w:rPr>
      </w:pPr>
    </w:p>
    <w:p>
      <w:pPr>
        <w:ind w:left="120" w:right="180" w:firstLine="551"/>
        <w:spacing w:after="0" w:line="246" w:lineRule="auto"/>
        <w:rPr>
          <w:sz w:val="20"/>
          <w:szCs w:val="20"/>
          <w:color w:val="auto"/>
        </w:rPr>
      </w:pPr>
      <w:r>
        <w:rPr>
          <w:rFonts w:ascii="Arial" w:cs="Arial" w:eastAsia="Arial" w:hAnsi="Arial"/>
          <w:sz w:val="18"/>
          <w:szCs w:val="18"/>
          <w:color w:val="auto"/>
        </w:rPr>
        <w:t>We may also pursue selected investments or acquisitions in pre-owned consumer electronics transactions and services platforms outside of China, as we believe international markets present a large market opportunity.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Path of Evolution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has evolved since our founding as follows:</w:t>
      </w:r>
    </w:p>
    <w:p>
      <w:pPr>
        <w:spacing w:after="0" w:line="99" w:lineRule="exact"/>
        <w:rPr>
          <w:sz w:val="20"/>
          <w:szCs w:val="20"/>
          <w:color w:val="auto"/>
        </w:rPr>
      </w:pPr>
    </w:p>
    <w:p>
      <w:pPr>
        <w:ind w:left="880" w:hanging="224"/>
        <w:spacing w:after="0" w:line="238"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2011 – 2017</w:t>
      </w:r>
      <w:r>
        <w:rPr>
          <w:rFonts w:ascii="Arial" w:cs="Arial" w:eastAsia="Arial" w:hAnsi="Arial"/>
          <w:sz w:val="18"/>
          <w:szCs w:val="18"/>
          <w:color w:val="auto"/>
        </w:rPr>
        <w:t>: In 2011, we started to procure pre-owned phones and other consumer electronics from consumers through AHS</w:t>
      </w:r>
      <w:r>
        <w:rPr>
          <w:rFonts w:ascii="Arial" w:cs="Arial" w:eastAsia="Arial" w:hAnsi="Arial"/>
          <w:sz w:val="18"/>
          <w:szCs w:val="18"/>
          <w:i w:val="1"/>
          <w:iCs w:val="1"/>
          <w:color w:val="auto"/>
        </w:rPr>
        <w:t xml:space="preserve"> </w:t>
      </w:r>
      <w:r>
        <w:rPr>
          <w:rFonts w:ascii="Arial" w:cs="Arial" w:eastAsia="Arial" w:hAnsi="Arial"/>
          <w:sz w:val="18"/>
          <w:szCs w:val="18"/>
          <w:color w:val="auto"/>
        </w:rPr>
        <w:t>Recycle. We began developing our own quality standards and testing facilities for consumer electronics at the same time. In 2014, we expanded to offline channels by opening self-operated AHS stores offline in popular shopping malls. We later opened a series of AHS branded partner stores that are jointly-operated by our partners and us, which we refer to as AHS partner stores, in selected cities to further enhance our brand awareness, offline reach and service capabilities. In 2015, we started cooperating with e-commerce platforms such as JD.com, and consumer electronics brands such as Xiaomi, to attract their user traffic to our offline AHS stores for trade-in. The omni-channel trade-in network allowed us to quickly secure supply of consumer electronics, scale up our business and accumulate know-how in the inspection, grading and pricing of pre-owned consumer electronics. From 2011 to 2017, we sold pre-owned consumer electronics procured through AHS Recycle to small merchants.</w:t>
      </w:r>
    </w:p>
    <w:p>
      <w:pPr>
        <w:spacing w:after="0" w:line="96" w:lineRule="exact"/>
        <w:rPr>
          <w:rFonts w:ascii="Arial" w:cs="Arial" w:eastAsia="Arial" w:hAnsi="Arial"/>
          <w:sz w:val="18"/>
          <w:szCs w:val="18"/>
          <w:color w:val="auto"/>
        </w:rPr>
      </w:pPr>
    </w:p>
    <w:p>
      <w:pPr>
        <w:ind w:left="880" w:hanging="224"/>
        <w:spacing w:after="0" w:line="241"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Late 2017 – 2018</w:t>
      </w:r>
      <w:r>
        <w:rPr>
          <w:rFonts w:ascii="Arial" w:cs="Arial" w:eastAsia="Arial" w:hAnsi="Arial"/>
          <w:sz w:val="18"/>
          <w:szCs w:val="18"/>
          <w:color w:val="auto"/>
        </w:rPr>
        <w:t>: In late 2017, we launched Paijitang Marketplace, or PJT Marketplace, an online bidding platform where AHS</w:t>
      </w:r>
      <w:r>
        <w:rPr>
          <w:rFonts w:ascii="Arial" w:cs="Arial" w:eastAsia="Arial" w:hAnsi="Arial"/>
          <w:sz w:val="18"/>
          <w:szCs w:val="18"/>
          <w:i w:val="1"/>
          <w:iCs w:val="1"/>
          <w:color w:val="auto"/>
        </w:rPr>
        <w:t xml:space="preserve"> </w:t>
      </w:r>
      <w:r>
        <w:rPr>
          <w:rFonts w:ascii="Arial" w:cs="Arial" w:eastAsia="Arial" w:hAnsi="Arial"/>
          <w:sz w:val="18"/>
          <w:szCs w:val="18"/>
          <w:color w:val="auto"/>
        </w:rPr>
        <w:t>Recycle and third-party sellers sell pre-owned consumer electronics to buyers, such as resellers, mom-and-pop stores and other small merchants. PJT Marketplace enables retailers and small merchants in the pre-owned consumer electronics transactions and services industry in China to transition online and complete transactions under our quality certification standards. Since the launch of PJT Marketplace, we have evolved from a proprietary trade-in service provider to an open platform transaction enabler, broadening our reach to a much larger total addressable market.</w:t>
      </w:r>
    </w:p>
    <w:p>
      <w:pPr>
        <w:spacing w:after="0" w:line="89" w:lineRule="exact"/>
        <w:rPr>
          <w:rFonts w:ascii="Arial" w:cs="Arial" w:eastAsia="Arial" w:hAnsi="Arial"/>
          <w:sz w:val="18"/>
          <w:szCs w:val="18"/>
          <w:color w:val="auto"/>
        </w:rPr>
      </w:pPr>
    </w:p>
    <w:p>
      <w:pPr>
        <w:jc w:val="both"/>
        <w:ind w:left="880" w:right="200" w:hanging="224"/>
        <w:spacing w:after="0" w:line="250"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2019 and beyond</w:t>
      </w:r>
      <w:r>
        <w:rPr>
          <w:rFonts w:ascii="Arial" w:cs="Arial" w:eastAsia="Arial" w:hAnsi="Arial"/>
          <w:sz w:val="18"/>
          <w:szCs w:val="18"/>
          <w:color w:val="auto"/>
        </w:rPr>
        <w:t>: In 2019, we acquired Paipai, which we refer to as Paipai Marketplace, from JD Group. Paipai Marketplace</w:t>
      </w:r>
      <w:r>
        <w:rPr>
          <w:rFonts w:ascii="Arial" w:cs="Arial" w:eastAsia="Arial" w:hAnsi="Arial"/>
          <w:sz w:val="18"/>
          <w:szCs w:val="18"/>
          <w:i w:val="1"/>
          <w:iCs w:val="1"/>
          <w:color w:val="auto"/>
        </w:rPr>
        <w:t xml:space="preserve"> </w:t>
      </w:r>
      <w:r>
        <w:rPr>
          <w:rFonts w:ascii="Arial" w:cs="Arial" w:eastAsia="Arial" w:hAnsi="Arial"/>
          <w:sz w:val="18"/>
          <w:szCs w:val="18"/>
          <w:color w:val="auto"/>
        </w:rPr>
        <w:t>allows us to further satisfy demand for consumer electronics by extending our core transactions and services competencies to retail purchasers. This meaningfully complements the supply of consumer electronics provided through AHS Recycle.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0"/>
        <w:spacing w:after="0" w:line="237" w:lineRule="auto"/>
        <w:rPr>
          <w:sz w:val="20"/>
          <w:szCs w:val="20"/>
          <w:color w:val="auto"/>
        </w:rPr>
      </w:pPr>
      <w:r>
        <w:rPr>
          <w:rFonts w:ascii="Arial" w:cs="Arial" w:eastAsia="Arial" w:hAnsi="Arial"/>
          <w:sz w:val="18"/>
          <w:szCs w:val="18"/>
          <w:color w:val="auto"/>
        </w:rPr>
        <w:t>The acquisition and integration of Paipai Marketplace created a closed loop as supply sourced from consumers was then sold back to consumers. In the same year, we also began to expand and establish presences outside of Mainland China to work with local carriers, merchants and retailers to collectively engage in global pre-owned consumer electronics procurement and distribution. Since early 2021, we have started a pilot project to operate offline proprietary boutique stores where we sell the devices procured from AHS Recycle and PJT Marketplace to end consumers directly. The offline proprietary stores serve as another channel to reach the demand side of the pre-owned consumer electronics industry. As of the end of March 2021, we operated 2 Paipai stores in China.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Platform</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platform primarily consists of three components, AHS Recycle, PJT Marketplace and Paipai Marketplace.</w:t>
      </w:r>
    </w:p>
    <w:p>
      <w:pPr>
        <w:spacing w:after="0" w:line="99" w:lineRule="exact"/>
        <w:rPr>
          <w:sz w:val="20"/>
          <w:szCs w:val="20"/>
          <w:color w:val="auto"/>
        </w:rPr>
      </w:pPr>
    </w:p>
    <w:p>
      <w:pPr>
        <w:ind w:left="880" w:right="120" w:hanging="224"/>
        <w:spacing w:after="0" w:line="245"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AHS Recycle </w:t>
      </w:r>
      <w:r>
        <w:rPr>
          <w:rFonts w:ascii="Arial" w:cs="Arial" w:eastAsia="Arial" w:hAnsi="Arial"/>
          <w:sz w:val="18"/>
          <w:szCs w:val="18"/>
          <w:color w:val="auto"/>
        </w:rPr>
        <w:t>is our C2B offering catering to consumers who sell their pre-owned consumer electronics or trade them in for new</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AHS Recycle’s established online channels, together with our nationwide AHS stores, help consumers trade their devices for fair prices with data privacy and security ensured. A substantial portion of devices procured from AHS Recycle are sold either through PJT Marketplace or through Paipai Marketplace.</w:t>
      </w:r>
    </w:p>
    <w:p>
      <w:pPr>
        <w:spacing w:after="0" w:line="86"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PJT Marketplace </w:t>
      </w:r>
      <w:r>
        <w:rPr>
          <w:rFonts w:ascii="Arial" w:cs="Arial" w:eastAsia="Arial" w:hAnsi="Arial"/>
          <w:sz w:val="18"/>
          <w:szCs w:val="18"/>
          <w:color w:val="auto"/>
        </w:rPr>
        <w:t>is our B2B offering providing small merchants with a comprehensive suite of solutions, including bidding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among small merchants, standardized certification of devices, pricing suggestions and optimized inventory turnover. PJT Marketplace allows small merchants and other participants along the pre-owned consumer electronics value chain to launch their own trade-in programs at ease. Consumer electronics sourced from AHS Recycle are also sold to small merchants on PJT Marketplace.</w:t>
      </w:r>
    </w:p>
    <w:p>
      <w:pPr>
        <w:spacing w:after="0" w:line="90" w:lineRule="exact"/>
        <w:rPr>
          <w:rFonts w:ascii="Arial" w:cs="Arial" w:eastAsia="Arial" w:hAnsi="Arial"/>
          <w:sz w:val="18"/>
          <w:szCs w:val="18"/>
          <w:color w:val="auto"/>
        </w:rPr>
      </w:pPr>
    </w:p>
    <w:p>
      <w:pPr>
        <w:ind w:left="880" w:right="180" w:hanging="224"/>
        <w:spacing w:after="0" w:line="212" w:lineRule="exact"/>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 xml:space="preserve">Paipai Marketplace </w:t>
      </w:r>
      <w:r>
        <w:rPr>
          <w:rFonts w:ascii="Arial" w:cs="Arial" w:eastAsia="Arial" w:hAnsi="Arial"/>
          <w:sz w:val="17"/>
          <w:szCs w:val="17"/>
          <w:color w:val="auto"/>
        </w:rPr>
        <w:t>is our B2C offering on which consumers can purchase all types of pre-owned products, primarily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electronics. We mainly provide platform services to third-party merchants under two models: the consignment model where we conduct device certification in our operation centers, and the POP model where the devices do not go through our operation center. We also sell devices sourced from AHS Recycle. We select high quality devices among those sourced from third-party merchants and AHS Recycle and sell them in our </w:t>
      </w:r>
      <w:r>
        <w:rPr>
          <w:rFonts w:ascii="Arial" w:cs="Arial" w:eastAsia="Arial" w:hAnsi="Arial"/>
          <w:sz w:val="17"/>
          <w:szCs w:val="17"/>
          <w:i w:val="1"/>
          <w:iCs w:val="1"/>
          <w:color w:val="auto"/>
        </w:rPr>
        <w:t>Paipai Selection</w:t>
      </w:r>
      <w:r>
        <w:rPr>
          <w:rFonts w:ascii="Arial" w:cs="Arial" w:eastAsia="Arial" w:hAnsi="Arial"/>
          <w:sz w:val="17"/>
          <w:szCs w:val="17"/>
          <w:color w:val="auto"/>
        </w:rPr>
        <w:t xml:space="preserve"> (</w:t>
      </w:r>
      <w:r>
        <w:rPr>
          <w:rFonts w:ascii="SimSun" w:cs="SimSun" w:eastAsia="SimSun" w:hAnsi="SimSun"/>
          <w:sz w:val="15"/>
          <w:szCs w:val="15"/>
          <w:color w:val="auto"/>
        </w:rPr>
        <w:t>拍拍严选</w:t>
      </w:r>
      <w:r>
        <w:rPr>
          <w:rFonts w:ascii="Arial" w:cs="Arial" w:eastAsia="Arial" w:hAnsi="Arial"/>
          <w:sz w:val="17"/>
          <w:szCs w:val="17"/>
          <w:color w:val="auto"/>
        </w:rPr>
        <w:t>) flagship stores to attract more consumers. Under both models, we provide consumers on Paipai Marketplace with consistent high-quality customer services.</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through AHS Device, our international portal, we sell pre-owned consumer electronics primarily sourced through mobile network operators and merchants in developed economies, to merchants and other distributors outside of China, primarily in the Southeast Asia and Africa.</w:t>
      </w:r>
    </w:p>
    <w:p>
      <w:pPr>
        <w:spacing w:after="0" w:line="203"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generate product revenues primarily from sales of devices that are sourced online and offline through AHS Recycle, to buyers through PJT Marketplace and Paipai Marketplace, as well as sales in AHS stores. We also generate service revenues as a certain percentage of the total value of each transaction completed on PJT Marketplace and Paipai Marketplace.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Supply Side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AHS Recycle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procure consumer electronic devices through AHS Recycle via online and offline channels.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Online channels</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Our AHS Recycle online channels include our AHS Recycle mobile app, Weixin official account and mini program, our website, our e-commerce platform partners’ portals, and the online platforms of consumer electronics brands that we cooperate with. In 2020, approximately 75% of total GMV of pre-owned consumer electronics sourced by AHS Recycle were either delivered to offline AHS stores or picked up by AHS Recycle representatives physically, while approximately 25% were couriered directly to operation centers. The screenshots below demonstrate a selection of the variety of online portals where consumers can access our platform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146050</wp:posOffset>
            </wp:positionV>
            <wp:extent cx="4071620" cy="20313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07162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typical consumer who visits AHS Recycle online, we provide a seamless transaction experience as follows:</w:t>
      </w:r>
    </w:p>
    <w:p>
      <w:pPr>
        <w:spacing w:after="0" w:line="19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i w:val="1"/>
          <w:iCs w:val="1"/>
          <w:color w:val="auto"/>
        </w:rPr>
        <w:t xml:space="preserve">Device condition inquiry. </w:t>
      </w:r>
      <w:r>
        <w:rPr>
          <w:rFonts w:ascii="Arial" w:cs="Arial" w:eastAsia="Arial" w:hAnsi="Arial"/>
          <w:sz w:val="18"/>
          <w:szCs w:val="18"/>
          <w:color w:val="auto"/>
        </w:rPr>
        <w:t>On the main page of the gateway, the consumer can choose the type of device he or she intends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the brand and model. The consumer is then guided to answer a series of questions about the condition of the device, including time and channel of prior purchase, whether the device functions normally, whether the screen remains intact, whether there are any damages to the body of the device, terms of warranty left and other dysfunctionalities, if any.</w:t>
      </w:r>
    </w:p>
    <w:p>
      <w:pPr>
        <w:spacing w:after="0" w:line="181"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i w:val="1"/>
          <w:iCs w:val="1"/>
          <w:color w:val="auto"/>
        </w:rPr>
        <w:t xml:space="preserve">Estimated pricing. </w:t>
      </w:r>
      <w:r>
        <w:rPr>
          <w:rFonts w:ascii="Arial" w:cs="Arial" w:eastAsia="Arial" w:hAnsi="Arial"/>
          <w:sz w:val="18"/>
          <w:szCs w:val="18"/>
          <w:color w:val="auto"/>
        </w:rPr>
        <w:t>Upon providing responses to the set of questions, a consumer obtains estimated pricing in real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is automatically generated by our central database, taking into consideration not only the current condition of the device, but also market demand, depreciation and other factors that impact the retail value of the device. The consumer is then able to decide whether to proceed with selling or trade-in based on the estimated pricing.</w:t>
      </w:r>
    </w:p>
    <w:p>
      <w:pPr>
        <w:spacing w:after="0" w:line="181"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i w:val="1"/>
          <w:iCs w:val="1"/>
          <w:color w:val="auto"/>
        </w:rPr>
        <w:t xml:space="preserve">Confirm sale or trade-in order. </w:t>
      </w:r>
      <w:r>
        <w:rPr>
          <w:rFonts w:ascii="Arial" w:cs="Arial" w:eastAsia="Arial" w:hAnsi="Arial"/>
          <w:sz w:val="18"/>
          <w:szCs w:val="18"/>
          <w:color w:val="auto"/>
        </w:rPr>
        <w:t>If the estimated pricing meets the consumer’s expectation, the consumer can place an order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the device or trade it in for a newer model. The consumer would have three options for the next step: to go to a nearby offline AHS store as suggested by the online gateway, to arrange an inspection and pick-up by an AHS Recycle representative at the consumer’s designated location, or to courier the device directly to an operation center, where the device is inspected, graded and priced.</w:t>
      </w:r>
    </w:p>
    <w:p>
      <w:pPr>
        <w:spacing w:after="0" w:line="181"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i w:val="1"/>
          <w:iCs w:val="1"/>
          <w:color w:val="auto"/>
        </w:rPr>
        <w:t xml:space="preserve">Certification and pricing. </w:t>
      </w:r>
      <w:r>
        <w:rPr>
          <w:rFonts w:ascii="Arial" w:cs="Arial" w:eastAsia="Arial" w:hAnsi="Arial"/>
          <w:sz w:val="18"/>
          <w:szCs w:val="18"/>
          <w:color w:val="auto"/>
        </w:rPr>
        <w:t>After receiving the device from the consumer, we apply our standard certification process to the device.</w:t>
      </w:r>
      <w:r>
        <w:rPr>
          <w:rFonts w:ascii="Arial" w:cs="Arial" w:eastAsia="Arial" w:hAnsi="Arial"/>
          <w:sz w:val="18"/>
          <w:szCs w:val="18"/>
          <w:i w:val="1"/>
          <w:iCs w:val="1"/>
          <w:color w:val="auto"/>
        </w:rPr>
        <w:t xml:space="preserve"> </w:t>
      </w:r>
      <w:r>
        <w:rPr>
          <w:rFonts w:ascii="Arial" w:cs="Arial" w:eastAsia="Arial" w:hAnsi="Arial"/>
          <w:sz w:val="18"/>
          <w:szCs w:val="18"/>
          <w:color w:val="auto"/>
        </w:rPr>
        <w:t>We then offer the consumer a final price quote using a similar pricing model as the one for estimated pricing. This step ensures setting a fair price based on a consistent standard. Our consumer service team will answer any potential questions the consumer may have regarding the certification and the final price quote for his or her device.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For a consumer who chooses to courier the device to an operation center, we notify the consumer of the final price quote typically within 48 hours after we receive the device. For a consumer who chooses to go to a nearby offline AHS store or arrange pick-up by an AHS Recycle representative, inspection, grading and pricing can be performed instantly. we notify the consumer of the final price quote we offer typically within 48 hours after we receive the device.</w:t>
      </w:r>
    </w:p>
    <w:p>
      <w:pPr>
        <w:spacing w:after="0" w:line="187" w:lineRule="exact"/>
        <w:rPr>
          <w:sz w:val="20"/>
          <w:szCs w:val="20"/>
          <w:color w:val="auto"/>
        </w:rPr>
      </w:pPr>
    </w:p>
    <w:p>
      <w:pPr>
        <w:ind w:left="120" w:right="240" w:firstLine="551"/>
        <w:spacing w:after="0" w:line="250" w:lineRule="auto"/>
        <w:rPr>
          <w:sz w:val="20"/>
          <w:szCs w:val="20"/>
          <w:color w:val="auto"/>
        </w:rPr>
      </w:pPr>
      <w:r>
        <w:rPr>
          <w:rFonts w:ascii="Arial" w:cs="Arial" w:eastAsia="Arial" w:hAnsi="Arial"/>
          <w:sz w:val="18"/>
          <w:szCs w:val="18"/>
          <w:i w:val="1"/>
          <w:iCs w:val="1"/>
          <w:color w:val="auto"/>
        </w:rPr>
        <w:t xml:space="preserve">Completion of order. </w:t>
      </w:r>
      <w:r>
        <w:rPr>
          <w:rFonts w:ascii="Arial" w:cs="Arial" w:eastAsia="Arial" w:hAnsi="Arial"/>
          <w:sz w:val="18"/>
          <w:szCs w:val="18"/>
          <w:color w:val="auto"/>
        </w:rPr>
        <w:t>If the consumer agrees to the price quote, we will complete the order by issuing payment to the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and erasing all user data stored in the device. If the consumer asks to cancel the order, we will send the device back to the consumer within 48 hours upon receipt of a cancellation request.</w:t>
      </w:r>
    </w:p>
    <w:p>
      <w:pPr>
        <w:spacing w:after="0" w:line="177"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 xml:space="preserve">One-stop trade-in option. </w:t>
      </w:r>
      <w:r>
        <w:rPr>
          <w:rFonts w:ascii="Arial" w:cs="Arial" w:eastAsia="Arial" w:hAnsi="Arial"/>
          <w:sz w:val="18"/>
          <w:szCs w:val="18"/>
          <w:color w:val="auto"/>
        </w:rPr>
        <w:t>The consumer also has the option of trade-in through AHS Recycle. We cooperate with major</w:t>
      </w:r>
      <w:r>
        <w:rPr>
          <w:rFonts w:ascii="Arial" w:cs="Arial" w:eastAsia="Arial" w:hAnsi="Arial"/>
          <w:sz w:val="18"/>
          <w:szCs w:val="18"/>
          <w:i w:val="1"/>
          <w:iCs w:val="1"/>
          <w:color w:val="auto"/>
        </w:rPr>
        <w:t xml:space="preserve"> </w:t>
      </w:r>
      <w:r>
        <w:rPr>
          <w:rFonts w:ascii="Arial" w:cs="Arial" w:eastAsia="Arial" w:hAnsi="Arial"/>
          <w:sz w:val="18"/>
          <w:szCs w:val="18"/>
          <w:color w:val="auto"/>
        </w:rPr>
        <w:t>e-commerce platforms and consumer electronics brands to offer new devices, and we provide consumers options to trade in with a seamless transaction experience. This helps business partners promote sales and marketing of their new devices and allow their consumers access to our widespread offline reach and exceptional supply chain capabilities. If a consumer opts for a trade-in, we do not typically transmit any payment to the consumer, but instead apply the value of the consumer’s existing device towards lowering the overall amount of payment for the consumer’s new device. Consumers have the option to receive new devices in-store or via in-person pick-up. For trade-in transactions, we provide similar certification, pricing and data erasing services as recycling transactions.</w:t>
      </w:r>
    </w:p>
    <w:p>
      <w:pPr>
        <w:spacing w:after="0" w:line="203" w:lineRule="exact"/>
        <w:rPr>
          <w:sz w:val="20"/>
          <w:szCs w:val="20"/>
          <w:color w:val="auto"/>
        </w:rPr>
      </w:pPr>
    </w:p>
    <w:p>
      <w:pPr>
        <w:ind w:left="120" w:right="760" w:firstLine="551"/>
        <w:spacing w:after="0" w:line="246" w:lineRule="auto"/>
        <w:rPr>
          <w:sz w:val="20"/>
          <w:szCs w:val="20"/>
          <w:color w:val="auto"/>
        </w:rPr>
      </w:pPr>
      <w:r>
        <w:rPr>
          <w:rFonts w:ascii="Arial" w:cs="Arial" w:eastAsia="Arial" w:hAnsi="Arial"/>
          <w:sz w:val="18"/>
          <w:szCs w:val="18"/>
          <w:color w:val="auto"/>
        </w:rPr>
        <w:t>The screenshots below demonstrate the ease with which consumers can complete a trade-in transaction with our support, specifically on our partner JD.com: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142240</wp:posOffset>
            </wp:positionV>
            <wp:extent cx="4500245" cy="3317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500245"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Offline channels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operate AHS stores offline in selected locations, including self-operated stores primarily in first- and second-tier cities, and jointly-operated partner stores primarily in lower-tier cities. We strategically set up our AHS stores in highly desirable, densely populated locations with strong foot traffic, mostly in popular shopping malls. For our self-operated AHS stores, we lease the properties, employ the store clerks and take full control of the daily operations. For AHS partner stores, we provide training and intelligent operational systems to support in-store operating personnel and store management. We sell the vast majority of devices procured from offline AHS stores to third-party merchants via PJT Marketplace. Below is a photo of an AHS store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147320</wp:posOffset>
            </wp:positionV>
            <wp:extent cx="3402965" cy="25717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0296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Consumers are guided to offline AHS stores by our business partners, such as consumer electronics brands and JD.com, and our AHS online channels. Our AHS stores attract a large number of walk-in consumers, given that they are located in areas with strong foot traffic, and also serve as convenient physical channels for devices delivery. In 2020, approximately 75% of total GMV of pre-owned consumer electronics sourced by AHS Recycle were either delivered to offline AHS stores or picked up by AHS Recycle representatives physically. A typical consumer’s journey in an offline AHS store is as follows:</w:t>
      </w:r>
    </w:p>
    <w:p>
      <w:pPr>
        <w:spacing w:after="0" w:line="184"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i w:val="1"/>
          <w:iCs w:val="1"/>
          <w:color w:val="auto"/>
        </w:rPr>
        <w:t xml:space="preserve">Certification and pricing. </w:t>
      </w:r>
      <w:r>
        <w:rPr>
          <w:rFonts w:ascii="Arial" w:cs="Arial" w:eastAsia="Arial" w:hAnsi="Arial"/>
          <w:sz w:val="18"/>
          <w:szCs w:val="18"/>
          <w:color w:val="auto"/>
        </w:rPr>
        <w:t>A store clerk first conducts a preliminary check of the device regarding its brand, model,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channel of prior purchase and other basic criteria. The clerk then applies our comprehensive checking and certification process on the device, and provides a price quote accordingly. The price quote is based on our consistent pricing model applicable to both online and offline transactions. If the consumer has any questions or concerns about the price quote, the clerk will provide assistance accordingly.</w:t>
      </w:r>
    </w:p>
    <w:p>
      <w:pPr>
        <w:spacing w:after="0" w:line="185" w:lineRule="exact"/>
        <w:rPr>
          <w:sz w:val="20"/>
          <w:szCs w:val="20"/>
          <w:color w:val="auto"/>
        </w:rPr>
      </w:pPr>
    </w:p>
    <w:p>
      <w:pPr>
        <w:jc w:val="both"/>
        <w:ind w:left="120" w:right="120" w:firstLine="551"/>
        <w:spacing w:after="0" w:line="245" w:lineRule="auto"/>
        <w:rPr>
          <w:sz w:val="20"/>
          <w:szCs w:val="20"/>
          <w:color w:val="auto"/>
        </w:rPr>
      </w:pPr>
      <w:r>
        <w:rPr>
          <w:rFonts w:ascii="Arial" w:cs="Arial" w:eastAsia="Arial" w:hAnsi="Arial"/>
          <w:sz w:val="18"/>
          <w:szCs w:val="18"/>
          <w:i w:val="1"/>
          <w:iCs w:val="1"/>
          <w:color w:val="auto"/>
        </w:rPr>
        <w:t xml:space="preserve">Data migration and erasing. </w:t>
      </w:r>
      <w:r>
        <w:rPr>
          <w:rFonts w:ascii="Arial" w:cs="Arial" w:eastAsia="Arial" w:hAnsi="Arial"/>
          <w:sz w:val="18"/>
          <w:szCs w:val="18"/>
          <w:color w:val="auto"/>
        </w:rPr>
        <w:t>To ensure data privacy, we conduct data erasing as a mandatory procedure before transporting any</w:t>
      </w:r>
      <w:r>
        <w:rPr>
          <w:rFonts w:ascii="Arial" w:cs="Arial" w:eastAsia="Arial" w:hAnsi="Arial"/>
          <w:sz w:val="18"/>
          <w:szCs w:val="18"/>
          <w:i w:val="1"/>
          <w:iCs w:val="1"/>
          <w:color w:val="auto"/>
        </w:rPr>
        <w:t xml:space="preserve"> </w:t>
      </w:r>
      <w:r>
        <w:rPr>
          <w:rFonts w:ascii="Arial" w:cs="Arial" w:eastAsia="Arial" w:hAnsi="Arial"/>
          <w:sz w:val="18"/>
          <w:szCs w:val="18"/>
          <w:color w:val="auto"/>
        </w:rPr>
        <w:t>device into our operation centers. At AHS stores, we erase all user data on pre-owned devices in front of consumers in order to make the consumers feel comfortable and secure. If the consumer has a new device at hand, or opts to trade in for a new device available in-store, the clerk will help the consumer migrate data from the old device to the new device.</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67" w:lineRule="auto"/>
        <w:rPr>
          <w:sz w:val="20"/>
          <w:szCs w:val="20"/>
          <w:color w:val="auto"/>
        </w:rPr>
      </w:pPr>
      <w:r>
        <w:rPr>
          <w:rFonts w:ascii="Arial" w:cs="Arial" w:eastAsia="Arial" w:hAnsi="Arial"/>
          <w:sz w:val="18"/>
          <w:szCs w:val="18"/>
          <w:i w:val="1"/>
          <w:iCs w:val="1"/>
          <w:color w:val="auto"/>
        </w:rPr>
        <w:t xml:space="preserve">Completion of order. </w:t>
      </w:r>
      <w:r>
        <w:rPr>
          <w:rFonts w:ascii="Arial" w:cs="Arial" w:eastAsia="Arial" w:hAnsi="Arial"/>
          <w:sz w:val="18"/>
          <w:szCs w:val="18"/>
          <w:color w:val="auto"/>
        </w:rPr>
        <w:t>For orders placed directly in AHS stores, consumers get paid immediately after the device has gone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the standard process of certification, order confirmation and data erasing.</w:t>
      </w:r>
    </w:p>
    <w:p>
      <w:pPr>
        <w:spacing w:after="0" w:line="160"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i w:val="1"/>
          <w:iCs w:val="1"/>
          <w:color w:val="auto"/>
        </w:rPr>
        <w:t>Additional services</w:t>
      </w:r>
      <w:r>
        <w:rPr>
          <w:rFonts w:ascii="Arial" w:cs="Arial" w:eastAsia="Arial" w:hAnsi="Arial"/>
          <w:sz w:val="18"/>
          <w:szCs w:val="18"/>
          <w:color w:val="auto"/>
        </w:rPr>
        <w:t>. In-store consumers can enjoy a number of services such as data migration and data erasing,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accessories purchase, as well as introduction of third-party phone screen maintenance service, instant repair and power bank rental provided by third-party suppliers. Additionally, in a trade-in scenario, the clerk will help recommend suitable models of new devices based on the consumer’s needs, and advise device availability, for example, in offline AHS stores in the same city, or available from other AHS partner online channels, such as JD.com.</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able to leverage our AHS stores to ensure seamless transaction experiences and high quality customer service. Our overall</w:t>
      </w:r>
    </w:p>
    <w:p>
      <w:pPr>
        <w:ind w:left="120"/>
        <w:spacing w:after="0" w:line="234" w:lineRule="auto"/>
        <w:rPr>
          <w:sz w:val="20"/>
          <w:szCs w:val="20"/>
          <w:color w:val="auto"/>
        </w:rPr>
      </w:pPr>
      <w:r>
        <w:rPr>
          <w:rFonts w:ascii="Arial" w:cs="Arial" w:eastAsia="Arial" w:hAnsi="Arial"/>
          <w:sz w:val="18"/>
          <w:szCs w:val="18"/>
          <w:color w:val="auto"/>
        </w:rPr>
        <w:t>business growth also benefits from the increased brand presence and awareness raised by our network of AHS stores. As of</w:t>
      </w:r>
    </w:p>
    <w:p>
      <w:pPr>
        <w:ind w:left="120"/>
        <w:spacing w:after="0" w:line="235" w:lineRule="auto"/>
        <w:rPr>
          <w:sz w:val="20"/>
          <w:szCs w:val="20"/>
          <w:color w:val="auto"/>
        </w:rPr>
      </w:pPr>
      <w:r>
        <w:rPr>
          <w:rFonts w:ascii="Arial" w:cs="Arial" w:eastAsia="Arial" w:hAnsi="Arial"/>
          <w:sz w:val="18"/>
          <w:szCs w:val="18"/>
          <w:color w:val="auto"/>
        </w:rPr>
        <w:t>December 31, 2018, 2019 and 2020 and March 31, 2021, we had 393, 716, 731 and 753 AHS stores, respectively, located in 93, 142, 171</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172 cities in China, respectively.</w:t>
      </w:r>
    </w:p>
    <w:p>
      <w:pPr>
        <w:spacing w:after="0" w:line="2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Partnership with key supply sources</w:t>
      </w:r>
    </w:p>
    <w:p>
      <w:pPr>
        <w:spacing w:after="0" w:line="126" w:lineRule="exact"/>
        <w:rPr>
          <w:sz w:val="20"/>
          <w:szCs w:val="20"/>
          <w:color w:val="auto"/>
        </w:rPr>
      </w:pPr>
    </w:p>
    <w:p>
      <w:pPr>
        <w:ind w:left="120" w:right="60" w:firstLine="551"/>
        <w:spacing w:after="0" w:line="205" w:lineRule="exact"/>
        <w:rPr>
          <w:sz w:val="20"/>
          <w:szCs w:val="20"/>
          <w:color w:val="auto"/>
        </w:rPr>
      </w:pPr>
      <w:r>
        <w:rPr>
          <w:rFonts w:ascii="Arial" w:cs="Arial" w:eastAsia="Arial" w:hAnsi="Arial"/>
          <w:sz w:val="17"/>
          <w:szCs w:val="17"/>
          <w:color w:val="auto"/>
        </w:rPr>
        <w:t>We have established, and intend to continue to build business alliances and partnerships to grow our supply sources. In 2019, concurrently with our acquisition of Paipai Marketplace second-hand business from JD Group, we entered into a five-year business cooperation agreement with JD Group. JD Group offers trade-in of pre-owned mobile phones, laptops, tablets, digital cameras and certain other electronics for new models on its platform that is exclusively supported by our service offerings. After placing an order on the JD Group’s e-commerce platforms for trading-in a device, a customer may be guided to the nearest offline AHS store. We offer customers from JD.com’s platforms similar transaction experiences and the same standard of customer service as we do to customers from AHS Recycle. Starting from 2019, we also handle consumer electronics from JD spare stock (</w:t>
      </w:r>
      <w:r>
        <w:rPr>
          <w:rFonts w:ascii="SimSun" w:cs="SimSun" w:eastAsia="SimSun" w:hAnsi="SimSun"/>
          <w:sz w:val="15"/>
          <w:szCs w:val="15"/>
          <w:color w:val="auto"/>
        </w:rPr>
        <w:t>京东备件库</w:t>
      </w:r>
      <w:r>
        <w:rPr>
          <w:rFonts w:ascii="Arial" w:cs="Arial" w:eastAsia="Arial" w:hAnsi="Arial"/>
          <w:sz w:val="17"/>
          <w:szCs w:val="17"/>
          <w:color w:val="auto"/>
        </w:rPr>
        <w:t>) for distribution on PJT and Paipai</w:t>
      </w:r>
    </w:p>
    <w:p>
      <w:pPr>
        <w:spacing w:after="0" w:line="13"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Marketplaces. JD spare stock contains consumer electronics that are returned to JD.com’s platforms as a result of its seven-day return policy or replaced due to package damage. These devices are close to brand new, and are hence popular among purchasers on PJT Marketplace.</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In 2021, we entered into a business cooperation framework agreement with a term of 36 months with a PRC affiliate of Kuaishou, a leading content community and social platform in China, to enhance our pre-owned device sourcing capabilities. This strategic partnership provides us with an exclusive designated access point in Kuaishou’s in-app Kwai Shop, which allows us to process recycle and trade-in transactions of pre-owned mobile phones through its platform. The agreement also leverages our certification and inspection processes for pre-owned devices sold on Kuaishou. This agreement expands the supply of pre-owned devices on our platform. Additionally, the partnership has the potential to greatly extend our 2C consumer sales reach with differentiated access to Kuaishou’s hundreds of millions of daily active users.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have also formed strong business alliances with leading consumer electronics brands, whom we refer to as our brand partners, and authorized distributors of certain leading consumer electronics brands, whom we refer to as our distributor partners. We primarily cooperate with our brand partners and distributor partners under the trade-in scenario. Our brand partners and distributor partners typically offer trade-in services on their official website, mobile app and authorized offline retail stores, and these services are primarily supported by our service offerings. Customers of our brand partners and distributor partners are guided to our AHS stores and kiosks to have their trade-in orders fulfilled. Hundreds of millions of annual active customer accounts on JD platforms and customers of our brand partners and distributor partners bring a significant number of devices transacted on AHS Recycle.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Third-party merchants</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Third-party merchants and consumer electronics retailers can choose PJT Marketplace or Paipai Marketplace to sell the products they hold. Typically, between the two marketplaces, PJT Marketplace provides merchants with faster turnaround due to the highly efficient auction transaction model. Paipai Marketplace allows merchants to enjoy higher retail margin, as the products are sold directly to end users.</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For all devices distributed on PJT Marketplace in 2020 and the three months ended March 31, 2021, 68% and 67% were inspected in our operation centers, respectively, while the remainder were inspected by third-party merchants, both under our certification and grading standards. We provide suggested pricing for each device listed on PJT Marketplace, regardless of whether the device has been inspected in our own operation centers. We charge sellers on PJT Marketplace a commission, typically ranging from 1% to 3% of the executed transaction price. As of March 31, 2021, there were over 115,000 third-party merchants registered as sellers on our PJT Marketplace.</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Third-party merchants on Paipai Marketplace sell their products under two models: the consignment model where we conduct device certification in our operation centers, and the POP model where devices do not go through our operation center. Under the consignment model, we recommend a transaction price for the seller to consider, while under the POP model, the sellers have full control of the pricing under the POP model and take our pricing suggestions as references only. The pricing of similar devices at similar conditions sold under both models are usually similar. In 2020 and the three months ended March 31, 2021, the majority of products on Paipai Marketplace were sold under the POP model. We charge the sellers on Paipai Marketplace a commission that typically ranges from 4% to 10% of the executed transaction price. We also operate our own flagship stores on Paipai Marketplace, where we either act as a seller under the POP model ourselves and inspect and certify the devices in our operation centers, or provide transaction services under the consignment model.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Demand Side</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We primarily sell the pre-owned consumer electronics we source through various channels to buyers on PJT Marketplace and Paipai Marketplace. In 2020 and the three months ended March 31, 2021, among all devices transacted on our platform, 41% and 40%, respectively, were distributed through Paipai Marketplace, while 59% and 60%, respectively, were distributed through PJT Marketplace and other channels.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Buyers on PJT Marketplace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Buyers on PJT Marketplace are primarily small merchants who sell devices to downstream retailers, retailers who sell devices to end consumers, and small and medium enterprises who purchase devices for their employees for business use. Compared with purchasing offline, buyers on PJT Marketplace get to procure devices through fewer middlemen, which generally lowers costs. On PJT Marketplace, they also have access to a more diverse selection from a wider array of sources as well as the quality assurance services we provide.</w:t>
      </w:r>
    </w:p>
    <w:p>
      <w:pPr>
        <w:spacing w:after="0" w:line="202"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We use a blind auction model to motivate more merchants to participate in PJT Marketplace. In a blind auction on PJT Marketplace, only the information of the device for sale is shown. Information of the seller and other bidders, and the bidding prices of other participating bidders are all hidden. We believe the blind auction model has significantly improved bidding efficiency. We notify the winning bidder and charge the purchaser a commission, typically ranging from 1% to 3% of the executed transaction price.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Buyers on Paipai Marketplace</w:t>
      </w:r>
    </w:p>
    <w:p>
      <w:pPr>
        <w:spacing w:after="0" w:line="126"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Buyers on Paipai Marketplace are primarily consumers who desire value-for-money products. A substantial portion of these consumers are attracted from the portals of JD.com’s platforms. Buyers have access to a broad range of product categories and ample selection within each category of products on Paipai Marketplace. Consumer electronics account for the majority of sales orders completed.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value propositions to buyers on Paipai Marketplace are as follows:</w:t>
      </w:r>
    </w:p>
    <w:p>
      <w:pPr>
        <w:spacing w:after="0" w:line="194"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i w:val="1"/>
          <w:iCs w:val="1"/>
          <w:color w:val="auto"/>
        </w:rPr>
        <w:t xml:space="preserve">Product search or recommendation. </w:t>
      </w:r>
      <w:r>
        <w:rPr>
          <w:rFonts w:ascii="Arial" w:cs="Arial" w:eastAsia="Arial" w:hAnsi="Arial"/>
          <w:sz w:val="18"/>
          <w:szCs w:val="18"/>
          <w:color w:val="auto"/>
        </w:rPr>
        <w:t>We provide an intuitive user interface to help the buyer navigate through a vast selection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The buyer can search on the Paipai portal of JD.com’s app and find our products by brand, model, price and other features. Leveraging our deep understanding of the industry and user behavior, we are able to personalize and prioritize the display of high -quality listings according to the buyer’s specific needs and requirements, which can make the decision-making process more efficient for the buyer.</w:t>
      </w:r>
    </w:p>
    <w:p>
      <w:pPr>
        <w:spacing w:after="0" w:line="18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i w:val="1"/>
          <w:iCs w:val="1"/>
          <w:color w:val="auto"/>
        </w:rPr>
        <w:t xml:space="preserve">Device certification and pricing. </w:t>
      </w:r>
      <w:r>
        <w:rPr>
          <w:rFonts w:ascii="Arial" w:cs="Arial" w:eastAsia="Arial" w:hAnsi="Arial"/>
          <w:sz w:val="18"/>
          <w:szCs w:val="18"/>
          <w:color w:val="auto"/>
        </w:rPr>
        <w:t>For pre-owned consumer electronics sold under the consignment model, either by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merchants or in our own flagship stores on Paipai Marketplace, we conduct certification and recommend retail prices using our proprietary pricing model. We believe this ensures the devices are reasonably priced, which in turn improves transparency of the transaction process and strengthens customer trust.</w:t>
      </w:r>
    </w:p>
    <w:p>
      <w:pPr>
        <w:spacing w:after="0" w:line="181" w:lineRule="exact"/>
        <w:rPr>
          <w:sz w:val="20"/>
          <w:szCs w:val="20"/>
          <w:color w:val="auto"/>
        </w:rPr>
      </w:pPr>
    </w:p>
    <w:p>
      <w:pPr>
        <w:ind w:left="120" w:right="160" w:firstLine="551"/>
        <w:spacing w:after="0" w:line="267" w:lineRule="auto"/>
        <w:rPr>
          <w:sz w:val="20"/>
          <w:szCs w:val="20"/>
          <w:color w:val="auto"/>
        </w:rPr>
      </w:pPr>
      <w:r>
        <w:rPr>
          <w:rFonts w:ascii="Arial" w:cs="Arial" w:eastAsia="Arial" w:hAnsi="Arial"/>
          <w:sz w:val="18"/>
          <w:szCs w:val="18"/>
          <w:i w:val="1"/>
          <w:iCs w:val="1"/>
          <w:color w:val="auto"/>
        </w:rPr>
        <w:t xml:space="preserve">Customer support. </w:t>
      </w:r>
      <w:r>
        <w:rPr>
          <w:rFonts w:ascii="Arial" w:cs="Arial" w:eastAsia="Arial" w:hAnsi="Arial"/>
          <w:sz w:val="18"/>
          <w:szCs w:val="18"/>
          <w:color w:val="auto"/>
        </w:rPr>
        <w:t>Throughout the transaction process, the buyer can contact our customer service personnel via online chat or</w:t>
      </w:r>
      <w:r>
        <w:rPr>
          <w:rFonts w:ascii="Arial" w:cs="Arial" w:eastAsia="Arial" w:hAnsi="Arial"/>
          <w:sz w:val="18"/>
          <w:szCs w:val="18"/>
          <w:i w:val="1"/>
          <w:iCs w:val="1"/>
          <w:color w:val="auto"/>
        </w:rPr>
        <w:t xml:space="preserve"> </w:t>
      </w:r>
      <w:r>
        <w:rPr>
          <w:rFonts w:ascii="Arial" w:cs="Arial" w:eastAsia="Arial" w:hAnsi="Arial"/>
          <w:sz w:val="18"/>
          <w:szCs w:val="18"/>
          <w:color w:val="auto"/>
        </w:rPr>
        <w:t>hotlines. The team is in charge of addressing customer queries and providing timely, comprehensive customer services.</w:t>
      </w:r>
    </w:p>
    <w:p>
      <w:pPr>
        <w:spacing w:after="0" w:line="160"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Once the buyer places an order, our nationwide logistics and delivery service, primarily powered by JD</w:t>
      </w:r>
      <w:r>
        <w:rPr>
          <w:rFonts w:ascii="Arial" w:cs="Arial" w:eastAsia="Arial" w:hAnsi="Arial"/>
          <w:sz w:val="18"/>
          <w:szCs w:val="18"/>
          <w:i w:val="1"/>
          <w:iCs w:val="1"/>
          <w:color w:val="auto"/>
        </w:rPr>
        <w:t xml:space="preserve"> </w:t>
      </w:r>
      <w:r>
        <w:rPr>
          <w:rFonts w:ascii="Arial" w:cs="Arial" w:eastAsia="Arial" w:hAnsi="Arial"/>
          <w:sz w:val="18"/>
          <w:szCs w:val="18"/>
          <w:color w:val="auto"/>
        </w:rPr>
        <w:t>Logistics and SF Express, ensures the product ordered from our own flagship stores and third-party merchants under consignment model is delivered to the buyer in a timely manner. Once the buyer confirms receipt of the product in described condition, we mark the order as completed.</w:t>
      </w:r>
    </w:p>
    <w:p>
      <w:pPr>
        <w:spacing w:after="0" w:line="181"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i w:val="1"/>
          <w:iCs w:val="1"/>
          <w:color w:val="auto"/>
        </w:rPr>
        <w:t xml:space="preserve">Product return and quality warranty policy. </w:t>
      </w:r>
      <w:r>
        <w:rPr>
          <w:rFonts w:ascii="Arial" w:cs="Arial" w:eastAsia="Arial" w:hAnsi="Arial"/>
          <w:sz w:val="18"/>
          <w:szCs w:val="18"/>
          <w:color w:val="auto"/>
        </w:rPr>
        <w:t>If the buyer is not satisfied with the product purchased from our own flagship stores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third-party merchants under consignment model, he or she can apply for a return within seven days after receipt. The buyer can then courier the product to our operation centers and get the refund within one day upon our receipt of the product. In addition, for pre-owned consumer electronics sold in our own flagship stores, we offer one-year quality warranty policy.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Operation Centers</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of March 31, 2021, we operated seven centralized operation centers, equipped with proprietary data-driven processing technologies, in Shanghai, Shenzhen, Changzhou, Wuhan, Chengdu, Tianjin and Hong Kong. Our centralized operation center in Changzhou is fully automated. It adopts automation in all key functions, from acceptance of delivery, inspection, warehousing to support functions, with 90% of these procedures automated. The automated device inspection technology is highly reliable, with an accuracy rate of over 99% in March 2021 in our Changzhou operation center. We also operated 23 city-level operation stations as a supplement to these centralized operation centers to enhance services accessibility for our customers. As of March 31, 2021, we had a team of 551 personnel working in our centralized operation centers and city-level operation stations.</w:t>
      </w:r>
    </w:p>
    <w:p>
      <w:pPr>
        <w:spacing w:after="0" w:line="20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A substantial number of products sold on AHS Recycle, PJT Marketplace and Paipai Marketplace go through standard certification or inspection process that takes on average six hours at our operation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centers. Our standard inspection examines 38 criteria and consists of three key steps: firstly, exterior inspection, such as scratch inspection; secondly, hardware inspection, such as Bluetooth inspection and touch screen inspection; and thirdly, interior inspection, such as water damage inspection. Upon completion of the inspection or certification, our system automatically generates a comprehensive, standardized report. Each report includes extensive information on the exterior, hardware and interior of the device. In 2020 and the three months ended March 31, 2021, approximately 68% and 67%, respectively, of devices that were distributed on PJT Marketplace went through our proprietary inspection process in the operations centers, with the rest being inspected by third parties.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advanced technologies and streamlined processes we apply in our operation centers enable us to standardize the industry. Our best-in-class inspection technologies and grading process allow us to categorize the inherently non-standardized pre-owned consumer electronics into standard grades that customers can rely on. The automation of our operation centers enhances the efficiency of our business operations by increasing processing capacity and reducing error rate and labor cost. Below are photos of our fully automated operation center in Changzhou.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146050</wp:posOffset>
            </wp:positionV>
            <wp:extent cx="3771900" cy="21431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7719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Services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Offline customer service</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As of March 31, 2021, we operated 753 AHS stores in 172 cities across China. Our offline AHS stores serve as convenient access points for local walk-in consumers, which not only help us reach more consumers, but also increase our brand awareness.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our AHS stores, our strong service capabilities enable a consumer to have his or her pre-owned consumer electronics certified, graded and priced within three minutes. Furthermore, store clerks provide speedy and efficient data migration and data erasing services to consumers through our proprietary data erasing software. Our AHS stores also provide certain trade-in services such as on-site inspection, grading and pricing to complement mail-in trade-ins.</w:t>
      </w:r>
    </w:p>
    <w:p>
      <w:pPr>
        <w:spacing w:after="0" w:line="205" w:lineRule="exact"/>
        <w:rPr>
          <w:sz w:val="20"/>
          <w:szCs w:val="20"/>
          <w:color w:val="auto"/>
        </w:rPr>
      </w:pPr>
    </w:p>
    <w:p>
      <w:pPr>
        <w:ind w:left="120" w:right="40" w:firstLine="551"/>
        <w:spacing w:after="0" w:line="261" w:lineRule="auto"/>
        <w:rPr>
          <w:sz w:val="20"/>
          <w:szCs w:val="20"/>
          <w:color w:val="auto"/>
        </w:rPr>
      </w:pPr>
      <w:r>
        <w:rPr>
          <w:rFonts w:ascii="Arial" w:cs="Arial" w:eastAsia="Arial" w:hAnsi="Arial"/>
          <w:sz w:val="17"/>
          <w:szCs w:val="17"/>
          <w:color w:val="auto"/>
        </w:rPr>
        <w:t>AHS stores also offer complementary services, such as phone screen insurance, instant repair, power bank rental and accessories purchase. Through these high-frequency interactions, clerks are able to build connections with consumers, which also generate effective transaction leads. We believe these high-quality in-store customer services we offer differentiate us from other transaction platforms.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firstLine="551"/>
        <w:spacing w:after="0"/>
        <w:rPr>
          <w:sz w:val="20"/>
          <w:szCs w:val="20"/>
          <w:color w:val="auto"/>
        </w:rPr>
      </w:pPr>
      <w:r>
        <w:rPr>
          <w:rFonts w:ascii="Arial" w:cs="Arial" w:eastAsia="Arial" w:hAnsi="Arial"/>
          <w:sz w:val="18"/>
          <w:szCs w:val="18"/>
          <w:color w:val="auto"/>
        </w:rPr>
        <w:t>Additionally, we provide a suite of omni-channel comprehensive solutions to phone brands, which provide access to different aspects of our platform to facilitate their own trade-in transactions. For example, after placing an order on an online portal of our brand partner, a consumer may be guided to the nearest offline AHS store to trade-in a device.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Quality warranty</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Leveraging our deep industry know-how and our capabilities in inspection, grading and pricing of consumer electronics, we offer quality warranties for products sold on Paipai Marketplace while ensuring a relatively low return rate. According to the CIC Report, we are the first pre-owned consumer electronics transaction platform to provide such warranty in China. Pre-owned consumer electronics transaction platforms typically do not offer quality warranty to purchasers, as the quality of pre-owned goods is inherently uncertain, according to the CIC Report. We believe the quality warranty we offer showcases our unparalleled expertise in the industry, and promotes customer trust in PJT Marketplace and Paipai Marketplace.</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provide a three-day return policy to purchasers on PJT Marketplace who prove the products they purchased to be defective by uploading pictures and other evidence. For purchasers on Paipai Marketplace, we provide a seven-day return policy. Purchasers who wish to return the purchased products and have their requests approved can courier the products to our operation centers. We will issue the refund to the customer promptly upon receipt of the products and confirming refundable.</w:t>
      </w:r>
    </w:p>
    <w:p>
      <w:pPr>
        <w:spacing w:after="0" w:line="205"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quality of devices sold by third-party merchants is also important to maintaining the brand image of PJT Marketplace and Paipai Marketplace. We also evaluate the qualities of products sold by third-party merchants on a weekly basis, primarily based on return rate of products sold by such third-party merchants. For third-party merchants who continually incur high return rate, we may take measures, such as charging them fines, to reduce their activities on our platform.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Logistics and online order fulfillment</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We maintain a long-term cooperative relationship with reputable delivery service providers, including JD Logistics and SF Express, to fulfill our orders, who in turn provide to us and our customers tailored delivery and pick-up services.</w:t>
      </w:r>
    </w:p>
    <w:p>
      <w:pPr>
        <w:spacing w:after="0" w:line="197"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Customers can seamlessly interact with us online and offline for their order fulfillment. When placing orders on AHS Recycle, customers may choose in-person delivery at an offline AHS store or door-to-door delivery to one of our operation centers. For bidding orders placed on PJT Marketplace, we deliver the devices from our operation stations to the buyers through third-party delivery service providers we work with, primarily SF Express. For purchase orders placed on Paipai Marketplace, we primarily utilize the services of JD Logistics to make delivery.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International Business</w:t>
      </w:r>
    </w:p>
    <w:p>
      <w:pPr>
        <w:spacing w:after="0" w:line="126"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We are expanding our pre-owned consumer electronics transactions and services overseas, primarily through AHS Device. We anticipate that international markets will benefit from our proprietary inspection, grading and pricing technologies, which will automate the entire transaction process and significantly save time and labor costs.</w:t>
      </w:r>
    </w:p>
    <w:p>
      <w:pPr>
        <w:spacing w:after="0" w:line="203" w:lineRule="exact"/>
        <w:rPr>
          <w:sz w:val="20"/>
          <w:szCs w:val="20"/>
          <w:color w:val="auto"/>
        </w:rPr>
      </w:pPr>
    </w:p>
    <w:p>
      <w:pPr>
        <w:ind w:left="120" w:right="220" w:firstLine="551"/>
        <w:spacing w:after="0" w:line="257" w:lineRule="auto"/>
        <w:rPr>
          <w:sz w:val="20"/>
          <w:szCs w:val="20"/>
          <w:color w:val="auto"/>
        </w:rPr>
      </w:pPr>
      <w:r>
        <w:rPr>
          <w:rFonts w:ascii="Arial" w:cs="Arial" w:eastAsia="Arial" w:hAnsi="Arial"/>
          <w:sz w:val="17"/>
          <w:szCs w:val="17"/>
          <w:color w:val="auto"/>
        </w:rPr>
        <w:t>We source pre-owned consumer electronics for distribution outside of China primarily through mobile network operators and merchants in developed economies. Our pre-owned consumer electronics on our international portal also go through the standard inspection, grading and pricing process through our operation center in Hong Kong, and are then sold to other merchants internationally as well as consumers through other international e-commerce platforms, primarily in Southeast Asia, Latin America and Africa.</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We may pursue new strategic initiatives to expand our business overseas in the future, including through mergers, acquisitions and joint ventures outside of China. As of the date of this prospectus, we have not identified any specific targets for mergers, acquisitions or establishing joint ventures.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Strategic Partners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JD Group</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long history of cooperation with JD Group, a leading e-commerce company in China and our largest shareholder.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2015, we started empowering JD Group with our recycle and trade-in service capabilities.</w:t>
      </w:r>
    </w:p>
    <w:p>
      <w:pPr>
        <w:spacing w:after="0" w:line="212"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In June 2019, JD Group invested in our company, which marked the beginning of our large-scale and in-depth cooperation with JD Group. In connection with the investment, JD Group merged its Paipai Marketplace second-hand business into ours, and entered into a five-year business cooperation agreement, as supplemented, or the BCA, with us covering cooperation in areas such as user traffic, marketing, research and development, commission sharing, supply chain and logistics, and customer service and after-sales services. Under the JD BCA, JD Group authorized us to operate and we agreed to provide platform services to its spare stock, which constitutes a complementary source of supply on PJT Marketplace and Paipai Marketplace. Under the JD BCA, JD Group agreed to a five -year non-compete commitment with respect to certain product categories. As part of our strategic partnership, JD Group offers us the access portals embedded in the JD mobile app, the JD.com website and JD’s Weixin mini-program, which channel us to the consumer traffic available on JD platforms.</w:t>
      </w:r>
    </w:p>
    <w:p>
      <w:pPr>
        <w:spacing w:after="0" w:line="207"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We further leveraged our inspection, grading and pricing technologies to facilitate JD Group’s “one-stop trade-in” service to its customers. Upon placing a shopping order on JD platforms, customers are guided to AHS Recycle service embedded in JD mobile app, through either to the nearest offline AHS store, or to pick up new devices and trade-in pre-owned devices. We also provide superior in-store customer experience to those customers who are guided to our offline AHS stores from JD platforms.</w:t>
      </w:r>
    </w:p>
    <w:p>
      <w:pPr>
        <w:spacing w:after="0" w:line="205" w:lineRule="exact"/>
        <w:rPr>
          <w:sz w:val="20"/>
          <w:szCs w:val="20"/>
          <w:color w:val="auto"/>
        </w:rPr>
      </w:pPr>
    </w:p>
    <w:p>
      <w:pPr>
        <w:ind w:left="120" w:right="80" w:firstLine="551"/>
        <w:spacing w:after="0" w:line="207" w:lineRule="exact"/>
        <w:rPr>
          <w:sz w:val="20"/>
          <w:szCs w:val="20"/>
          <w:color w:val="auto"/>
        </w:rPr>
      </w:pPr>
      <w:r>
        <w:rPr>
          <w:rFonts w:ascii="Arial" w:cs="Arial" w:eastAsia="Arial" w:hAnsi="Arial"/>
          <w:sz w:val="18"/>
          <w:szCs w:val="18"/>
          <w:color w:val="auto"/>
        </w:rPr>
        <w:t>In August 2019, to enhance our cooperation, we entered into an agreement with JD Group, pursuant to which we are authorized to use the JD Cellphone brand name in our AHS stores. In 2020, we entered into an agreement with JD Group, pursuant to which JD transferred a few brand names to us, including Wanwuxinsheng (</w:t>
      </w:r>
      <w:r>
        <w:rPr>
          <w:rFonts w:ascii="SimSun" w:cs="SimSun" w:eastAsia="SimSun" w:hAnsi="SimSun"/>
          <w:sz w:val="16"/>
          <w:szCs w:val="16"/>
          <w:color w:val="auto"/>
        </w:rPr>
        <w:t>万物新生</w:t>
      </w:r>
      <w:r>
        <w:rPr>
          <w:rFonts w:ascii="Arial" w:cs="Arial" w:eastAsia="Arial" w:hAnsi="Arial"/>
          <w:sz w:val="18"/>
          <w:szCs w:val="18"/>
          <w:color w:val="auto"/>
        </w:rPr>
        <w:t>), which has become our major brand in China. In 2018, 2019,</w:t>
      </w:r>
    </w:p>
    <w:p>
      <w:pPr>
        <w:spacing w:after="0" w:line="14" w:lineRule="exact"/>
        <w:rPr>
          <w:sz w:val="20"/>
          <w:szCs w:val="20"/>
          <w:color w:val="auto"/>
        </w:rPr>
      </w:pPr>
    </w:p>
    <w:p>
      <w:pPr>
        <w:ind w:left="120" w:right="100"/>
        <w:spacing w:after="0" w:line="274" w:lineRule="auto"/>
        <w:rPr>
          <w:sz w:val="20"/>
          <w:szCs w:val="20"/>
          <w:color w:val="auto"/>
        </w:rPr>
      </w:pPr>
      <w:r>
        <w:rPr>
          <w:rFonts w:ascii="Arial" w:cs="Arial" w:eastAsia="Arial" w:hAnsi="Arial"/>
          <w:sz w:val="17"/>
          <w:szCs w:val="17"/>
          <w:color w:val="auto"/>
        </w:rPr>
        <w:t>2020 and three months ended March 31, 2021, our cooperation with JD Group contributed RMB1.0 billion, RMB1.3 billion, RMB2.0 billion and RMB0.6 billion, respectively, of our GMV for product sales, and a vast majority of the GMV facilitated on our Paipai Marketplace.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Internet Platforms</w:t>
      </w:r>
    </w:p>
    <w:p>
      <w:pPr>
        <w:spacing w:after="0" w:line="12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In 2021, we entered into a business cooperation framework agreement with a PRC affiliate of Kuaishou, a leading content community and social platform in China, to enhance our pre-owned device sourcing capabilities. This strategic partnership provides us with an exclusive designated access point in Kuaishou’s in-app Kwai Shop, which allows us to process recycle and trade-in transactions of pre-owned mobile phones through its platform. The agreement also leverages our certification and inspection processes for all pre-owned devices sold on Kuaishou. This agreement expands the supply of pre-owned devices on our platform. Additionally, the partnership has the potential to greatly extend our 2C consumer sales reach with differentiated access to Kuaishou’s hundreds of millions of daily active users.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Brand partners</w:t>
      </w:r>
    </w:p>
    <w:p>
      <w:pPr>
        <w:spacing w:after="0" w:line="126" w:lineRule="exact"/>
        <w:rPr>
          <w:sz w:val="20"/>
          <w:szCs w:val="20"/>
          <w:color w:val="auto"/>
        </w:rPr>
      </w:pPr>
    </w:p>
    <w:p>
      <w:pPr>
        <w:ind w:left="120" w:right="120" w:firstLine="551"/>
        <w:spacing w:after="0" w:line="257" w:lineRule="auto"/>
        <w:rPr>
          <w:sz w:val="20"/>
          <w:szCs w:val="20"/>
          <w:color w:val="auto"/>
        </w:rPr>
      </w:pPr>
      <w:r>
        <w:rPr>
          <w:rFonts w:ascii="Arial" w:cs="Arial" w:eastAsia="Arial" w:hAnsi="Arial"/>
          <w:sz w:val="17"/>
          <w:szCs w:val="17"/>
          <w:color w:val="auto"/>
        </w:rPr>
        <w:t>We entered into business cooperation agreements with certain globally-recognized consumer electronics manufacturers, covering cooperation in areas such as user traffic, marketing and commission sharing, typically with a term of one to three years. Under these business cooperation agreements, our brand partners offer us prominent access points on their official websites, mobile apps and Weixin mini-programs to provide us with traffic support, in exchange for which we provide recycle and/or trade-in services to their customers.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Technology Infrastructure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Supply Sourcing Technology</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apply our proprietary technology to help source supply of pre-owned consumer electronics and empower others to participate in the pre-owned consumer electronics ecosystem. In June 2020, we launched DeviceHero, our proprietary inspection terminal that is the size of a power bank. DeviceHero helps small merchants inspect the need for parts replacement, functionality, battery life and many other key features of pre-owned devices. A DeviceHero box automatically begins inspection of a device’s features once connected. After inspection, it transfers the results back to our big data platform to assess pricing and quality. DeviceHero box empowers small merchants for plug-in inspection and precision pricing within three minutes.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order to further strengthen our offline service capabilities, we place self-service recycling kiosks in selected brand stores. As of March 31, 2021, we had over 1,500 self-service recycling kiosks in major phone retailers throughout the country to help brands and their authorized distribution channels process trade-ins. These kiosks are equipped with similar inspection technology as our DeviceHero boxes and leverage data from millions of transactions and thousands of phone models to inspect, grade and price devices. They are able to inspect and display a sale price for pre-owned devices within two minutes. The kiosks temporarily store the recycled devices before they are shipped downstream for further certification and distribution on PJT Marketplace.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Inspection, Grading and Pricing Technology</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inspect or certify most devices sourced from AHS Recycle and sold on PJT Marketplace and Paipai Marketplace. We have developed a comprehensive inspection and certification system covering hardware, exterior and interior inspection. We had a dedicated device inspection team consisting of 224 members as of March 31, 2021. As of March 31, 2021, we had obtained ten patents in relation to consumer electronics inspection and certification. Our inspection capabilities are also recognized and trusted by both consumers and merchants. For example, as of March 31, 2021, we had licensed our DeviceHero proprietary inspection system to approximately 15,000 small merchants to facilitate their inspection of the functionality, battery life and other features of pre-owned consumer electronic devices.</w:t>
      </w:r>
    </w:p>
    <w:p>
      <w:pPr>
        <w:spacing w:after="0" w:line="205" w:lineRule="exact"/>
        <w:rPr>
          <w:sz w:val="20"/>
          <w:szCs w:val="20"/>
          <w:color w:val="auto"/>
        </w:rPr>
      </w:pPr>
    </w:p>
    <w:p>
      <w:pPr>
        <w:ind w:left="120" w:right="440" w:firstLine="551"/>
        <w:spacing w:after="0"/>
        <w:rPr>
          <w:sz w:val="20"/>
          <w:szCs w:val="20"/>
          <w:color w:val="auto"/>
        </w:rPr>
      </w:pPr>
      <w:r>
        <w:rPr>
          <w:rFonts w:ascii="Arial" w:cs="Arial" w:eastAsia="Arial" w:hAnsi="Arial"/>
          <w:sz w:val="18"/>
          <w:szCs w:val="18"/>
          <w:color w:val="auto"/>
        </w:rPr>
        <w:t>Based on a substantial amount of data on devices and transactions, we have also developed a unified grading standard which comprises of 40 grading tiers. This grading standard has been recognized by all types of participants in the pre-owned consumer electronic devices industry, including retailers, small merchants and consumers.</w:t>
      </w:r>
    </w:p>
    <w:p>
      <w:pPr>
        <w:spacing w:after="0" w:line="203" w:lineRule="exact"/>
        <w:rPr>
          <w:sz w:val="20"/>
          <w:szCs w:val="20"/>
          <w:color w:val="auto"/>
        </w:rPr>
      </w:pPr>
    </w:p>
    <w:p>
      <w:pPr>
        <w:ind w:left="120" w:right="400" w:firstLine="551"/>
        <w:spacing w:after="0" w:line="261" w:lineRule="auto"/>
        <w:rPr>
          <w:sz w:val="20"/>
          <w:szCs w:val="20"/>
          <w:color w:val="auto"/>
        </w:rPr>
      </w:pPr>
      <w:r>
        <w:rPr>
          <w:rFonts w:ascii="Arial" w:cs="Arial" w:eastAsia="Arial" w:hAnsi="Arial"/>
          <w:sz w:val="17"/>
          <w:szCs w:val="17"/>
          <w:color w:val="auto"/>
        </w:rPr>
        <w:t>Our platform has generated a wealth of data on devices and transactions that continually improves our pricing system. We use proprietary algorithms to optimize pricing based on factors such as brand, model, age, condition, color and current market demand. Increasingly, we are using our technology platform to automate pricing of the devices sold through our platform. We also provide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human oversight of the pricing process, which allows us to recognize and appropriately adjust for real-time changes in market trends. Leveraging our accurate and efficient pricing capabilities, for devices on PJT Marketplace, we provide a suggested starting price and an estimated final transaction price for the seller’s reference.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In-store Operations System</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develop and employ our own proprietary operations system, complemented by our strengths in big data analytics, within our in-store network to enhance our day-to-day operational decision-making. Our in-store operations system continuously generates substantial data within our in -store network by observing consumer behavior and transaction preferences, which can be analyzed to optimize store management, standardize customer service offerings, and manage operational risks such as theft or malpractice. We also leverage our proprietary in-store operations system to help in strategic decision making, such as site selection for new store openings and renewal of agreements with partners of our jointly-operated stores.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and Social Responsibility</w:t>
      </w:r>
    </w:p>
    <w:p>
      <w:pPr>
        <w:spacing w:after="0" w:line="234"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Being environmentally-friendly and having positive social impact is an integral part of our business. Our platform reduces electronic waste by increasing the life cycle of electronic devices. By distributing pre-owned devices to developing areas, we enable access to more affordable consumer electronics in those regions based on our advanced technologies.</w:t>
      </w:r>
    </w:p>
    <w:p>
      <w:pPr>
        <w:spacing w:after="0" w:line="203"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We are committed to sustainable development and constantly advocate for the harmonious coexistence between human and nature. Since 2018, we have been launching various initiatives, such as public welfare actions, to encourage consumers to protect our environment. For example, as of March 31, 2021, we had donated pre-owned iPads we procured from AHS Recycle of over RMB0.6 million worth of value to elementary schools in rural areas to support local education, helping tens of thousands of students.</w:t>
      </w:r>
    </w:p>
    <w:p>
      <w:pPr>
        <w:spacing w:after="0" w:line="205"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We believe it is our responsibility to contribute to our community in difficult times, and have donated fund and medical supplies to support China’s nationwide efforts to contain the COVID-19 pandemic.</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 and Compliance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Product Quality and Safety</w:t>
      </w:r>
    </w:p>
    <w:p>
      <w:pPr>
        <w:spacing w:after="0" w:line="126"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We have established a unified product inspection system, for products sourced from offline and online channels, to ensure product quality and safety.</w:t>
      </w:r>
    </w:p>
    <w:p>
      <w:pPr>
        <w:spacing w:after="0" w:line="197"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To control the quality of products sold by third -party merchants, we also conduct quality evaluation over such products, primarily based on return rate. For third -party merchants who continually incur high return rate, we may take measures, such as charging them fines, to reduce their activities on our platform.</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and Data Security</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For all devices collected by us, we use proprietary data erasing software to sanitize sensitive information, ensure data security and avoid data leakage.</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60"/>
          </w:cols>
          <w:pgMar w:left="320" w:top="459" w:right="5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have collected a vast amount of data that are related to our business, all with consent from owners of such information. We are committed to protecting the privacy and security of such data. We have established and implemented a strict platform-wide policy on data collection, processing and usage. Besides, we comply with security policies and measures established by JD Group in relation to our partnership with them on AHS Recycle and Paipai Marketplace.</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To ensure the confidentiality and integrity of our data, we maintain a comprehensive and rigorous data security policy. We anonymize and encrypt confidential personal information and take other technological measures to ensure the secure processing, transmission and usage of data. We have also established stringent internal protocols under which we grant classified access to confidential personal data only to limited employees with strictly defined and layered access authority. In addition, we ensure the security and compliance of our information and technology system. Our system was certified as Safety Level III Computer Information System in 2019 by the public security department. In early 2021, we obtained the 27001 Information Security Management System Certification of the International Organization for Standardization.</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back up our data on a daily basis in multiple secured data storage systems to minimize the risk of data loss. We also conduct frequent reviews of our back-up systems to ensure that they function properly and are well maintained. We have also established an information security team to protect our systems from unauthorized access and malicious attacks, and safeguard the integrity and security of our user data.</w:t>
      </w:r>
    </w:p>
    <w:p>
      <w:pPr>
        <w:spacing w:after="0" w:line="205"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See “Risk Factors—Risks Related to Our Business and Industry—Privacy concerns relating to pre-owned consumer electronics and the collection, store and use of customer information could deter current and potential customers from choosing our products or services, damage our reputation, impede our business growth and thus negatively impact our business.”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Regulatory Compliance</w:t>
      </w:r>
    </w:p>
    <w:p>
      <w:pPr>
        <w:spacing w:after="0" w:line="126" w:lineRule="exact"/>
        <w:rPr>
          <w:sz w:val="20"/>
          <w:szCs w:val="20"/>
          <w:color w:val="auto"/>
        </w:rPr>
      </w:pPr>
    </w:p>
    <w:p>
      <w:pPr>
        <w:ind w:left="120" w:right="120" w:firstLine="551"/>
        <w:spacing w:after="0" w:line="274" w:lineRule="auto"/>
        <w:rPr>
          <w:sz w:val="20"/>
          <w:szCs w:val="20"/>
          <w:color w:val="auto"/>
        </w:rPr>
      </w:pPr>
      <w:r>
        <w:rPr>
          <w:rFonts w:ascii="Arial" w:cs="Arial" w:eastAsia="Arial" w:hAnsi="Arial"/>
          <w:sz w:val="17"/>
          <w:szCs w:val="17"/>
          <w:color w:val="auto"/>
        </w:rPr>
        <w:t>We have adopted an Anti-Corruption Compliance Policy in which we strictly forbid any kickbacks or other payments to a customer to secure purchases. The prohibition applies to both direct and indirect payments, such as payments in disguise of discounts and gifts.</w:t>
      </w:r>
    </w:p>
    <w:p>
      <w:pPr>
        <w:spacing w:after="0" w:line="17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To effectuate our anti-kickback policies and policies against other prohibited conducts, our internal control department, legal department, and corporate governance department coordinate to monitor the compliance of our business activities and handle complaints and whistle-blowing cases through our internal compliance reporting email. We post violations and our disciplinary decisions against violations on our internal website.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Fraud Prevention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dedicated team to constantly monitor transactions and employees’ and customers’ behavior on our platform.</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strictly enforce our anti-fraud measures. For example, we require our customers on AHS Recycle and both sellers and buyers on PJT Marketplace to provide identification documents such as identification card and business licenses to authenticate their identity and require them to enter passcode of the electronics to prevent fraud. Besides, to monitor the risks associated with the devices on our platform, our professionals check whether a device was opened or replaced with unauthorized parts.</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9"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Properties</w:t>
      </w:r>
    </w:p>
    <w:p>
      <w:pPr>
        <w:spacing w:after="0" w:line="234"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 xml:space="preserve">We regard our patents, trademarks, copyrights, domain names, know-hows, proprietary technologies, and similar intellectual property as critical to our success. As of March 31, 2021, we had 42 patents registered. As of March 31, 2021, we also owned 273 registered trademarks, 10 registered copyrights and 68 registered software programs developed by us relating to various aspects of our operations, and 64 registered domain names, including </w:t>
      </w:r>
      <w:r>
        <w:rPr>
          <w:rFonts w:ascii="Arial" w:cs="Arial" w:eastAsia="Arial" w:hAnsi="Arial"/>
          <w:sz w:val="18"/>
          <w:szCs w:val="18"/>
          <w:i w:val="1"/>
          <w:iCs w:val="1"/>
          <w:color w:val="auto"/>
        </w:rPr>
        <w:t>aihuishou.com</w:t>
      </w:r>
      <w:r>
        <w:rPr>
          <w:rFonts w:ascii="Arial" w:cs="Arial" w:eastAsia="Arial" w:hAnsi="Arial"/>
          <w:sz w:val="18"/>
          <w:szCs w:val="18"/>
          <w:color w:val="auto"/>
        </w:rPr>
        <w:t xml:space="preserve"> and </w:t>
      </w:r>
      <w:r>
        <w:rPr>
          <w:rFonts w:ascii="Arial" w:cs="Arial" w:eastAsia="Arial" w:hAnsi="Arial"/>
          <w:sz w:val="18"/>
          <w:szCs w:val="18"/>
          <w:i w:val="1"/>
          <w:iCs w:val="1"/>
          <w:color w:val="auto"/>
        </w:rPr>
        <w:t>paijitang.com</w:t>
      </w:r>
      <w:r>
        <w:rPr>
          <w:rFonts w:ascii="Arial" w:cs="Arial" w:eastAsia="Arial" w:hAnsi="Arial"/>
          <w:sz w:val="18"/>
          <w:szCs w:val="18"/>
          <w:color w:val="auto"/>
        </w:rPr>
        <w:t>. In addition, JD Group is in the process of transferring the paipai.com domain name to us.</w:t>
      </w:r>
    </w:p>
    <w:p>
      <w:pPr>
        <w:spacing w:after="0" w:line="202"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We seek to protect our technology and associated intellectual property rights through a combination of patent, copyright and trademark laws, as well as license agreements and other contractual protections. In addition, we enter into employment agreements with confidentiality arrangements with our employees to protect our proprietary rights. The agreements we enter into with our employees also provide that all patents, software, inventions, developments, works of authorship and trade secrets created by them during the course of their employment with us are our property.</w:t>
      </w:r>
    </w:p>
    <w:p>
      <w:pPr>
        <w:spacing w:after="0" w:line="20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We intend to protect our technology and proprietary rights vigorously. We have employed internal policies, confidentiality agreements, encryptions and data security measures to protect our proprietary rights. From time to time, third parties may initiate litigation against us alleging infringement of their proprietary rights or declaring their non-infringement of our intellectual property rights. See “Risk Factors—Risks Related to Our Business and Industry—We may not be able to prevent others from unauthorized use of our intellectual property, which could harm our business and competitive position” and “Risk Factors—Risks Related to Our Business and Industry—We may be subject to intellectual property infringement claims, which may be expensive to defend and may disrupt our business and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Branding and Marketing</w:t>
      </w:r>
    </w:p>
    <w:p>
      <w:pPr>
        <w:spacing w:after="0" w:line="126" w:lineRule="exact"/>
        <w:rPr>
          <w:sz w:val="20"/>
          <w:szCs w:val="20"/>
          <w:color w:val="auto"/>
        </w:rPr>
      </w:pPr>
    </w:p>
    <w:p>
      <w:pPr>
        <w:ind w:left="120" w:right="20" w:firstLine="551"/>
        <w:spacing w:after="0" w:line="261" w:lineRule="auto"/>
        <w:rPr>
          <w:sz w:val="20"/>
          <w:szCs w:val="20"/>
          <w:color w:val="auto"/>
        </w:rPr>
      </w:pPr>
      <w:r>
        <w:rPr>
          <w:rFonts w:ascii="Arial" w:cs="Arial" w:eastAsia="Arial" w:hAnsi="Arial"/>
          <w:sz w:val="17"/>
          <w:szCs w:val="17"/>
          <w:color w:val="auto"/>
        </w:rPr>
        <w:t>We believe that our omni-channel business model, in its nature, can efficiently bring strong user traffic, and our high-quality services lead to strong word-of-mouth referrals, which drive customer awareness of our brands. Our sales and marketing team, consisting of 275 personnel as of March 31, 2021, is dedicated to implementing our multi-channel marketing strategy both online and offline.</w:t>
      </w:r>
    </w:p>
    <w:p>
      <w:pPr>
        <w:spacing w:after="0" w:line="18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To build our brand awareness, we utilize mass market advertising, especially in locations with high population density such as subway stations. In recent years, we have also expanded our marketing efforts into emerging channels, such as live streaming and short-video platforms. For example, we place ads in highly popular media content and collaborate with social media influencers on leading live-streaming platforms. Further, we leverage social media campaigns to raise our brand awareness, promote our marketplaces and the products sold thereon.</w:t>
      </w:r>
    </w:p>
    <w:p>
      <w:pPr>
        <w:spacing w:after="0" w:line="2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For user acquisition, we have leveraged both online and offline presence to generate traffic to our platform. For example, our offline AHS stores are conveniently located in places with heavy foot traffic, attracting considerable walk-in consumers. We also leverage hundreds of millions of annual active customer accounts on JD.com platforms as a source of user traffic.</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34"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The pre-owned consumer electronics industry in China is rapidly evolving and increasingly competitive. Although we believe no other industry player in China operates under the end-to-end platform business model like ours, we face competition from players who operate a business overlapping with or similar to one or several components of our platform. For example, we compete with other platforms for pre-owned goods transactions.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We believe we compete on the basis of our abilities to create a new infrastructure defined by our end-to-end coverage of the value chain including the supply chain and standardizing of inspection, grading, and pricing. According to the CIC Report, we are the only end-to-end platform integrating C2B, B2B and B2C capabilities with both online and offline presence in China. We believe that our diverse sources of supply also give us a competitive advantage, given our wide coverage of the supply chain. According to the CIC Report, we had a market share of 8.7% in 2020 in terms of number of devices transacted, which is higher than the approximately 4.4% of market share combined held by the next five players in China, and we are expected to continue to hold the market leading position in the near future.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w:t>
      </w:r>
    </w:p>
    <w:p>
      <w:pPr>
        <w:spacing w:after="0" w:line="234"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We had 2,388 and 2,281 full-time employees as of December 31, 2020 and March 31, 2021, respectively, the vast majority of which are located in China. The following table sets forth the number of our full-time employees as of March 31,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Function</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Employees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80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Operation and Fulfillment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1,476</w:t>
            </w: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w:t>
            </w: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431</w:t>
            </w:r>
          </w:p>
        </w:tc>
        <w:tc>
          <w:tcPr>
            <w:tcW w:w="5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3"/>
        </w:trPr>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7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275</w:t>
            </w:r>
          </w:p>
        </w:tc>
        <w:tc>
          <w:tcPr>
            <w:tcW w:w="5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line="202" w:lineRule="exact"/>
              <w:rPr>
                <w:sz w:val="20"/>
                <w:szCs w:val="20"/>
                <w:color w:val="auto"/>
              </w:rPr>
            </w:pPr>
            <w:r>
              <w:rPr>
                <w:rFonts w:ascii="Arial" w:cs="Arial" w:eastAsia="Arial" w:hAnsi="Arial"/>
                <w:sz w:val="18"/>
                <w:szCs w:val="18"/>
                <w:color w:val="auto"/>
              </w:rPr>
              <w:t>General Administration and Support</w:t>
            </w: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89</w:t>
            </w:r>
          </w:p>
        </w:tc>
        <w:tc>
          <w:tcPr>
            <w:tcW w:w="56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Customer Service</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2,281</w:t>
            </w:r>
          </w:p>
        </w:tc>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In addition to our own employees, our workforce also includes 2,218 outsourced workers and 185 part-time personnel, as of March 31, 2021. We enter into contracts with our labor outsourcing partners and part-time personnel as required by applicable laws and regulations.</w:t>
      </w:r>
    </w:p>
    <w:p>
      <w:pPr>
        <w:spacing w:after="0" w:line="2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Our success depends on our ability to attract, motivate, train and retain qualified personnel. We believe we offer our employees competitive compensation packages and an environment that encourages self-development and creativity. As a result, we have generally been able to attract and retain high-quality and qualified personnel. We believe that we maintain a good working relationship with our employees, and we have not experienced any material labor disputes in the past.</w:t>
      </w:r>
    </w:p>
    <w:p>
      <w:pPr>
        <w:spacing w:after="0" w:line="205"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As required by regulations in China, we participate in various employee social security plans that are organized by municipal and provincial governments for our PRC-based employees, including pension, unemployment insurance, childbirth insurance, work-related injury insurance, medical insurance and housing insurance. We are required under PRC law to make contributions from time to time to employee benefit plans for our PRC-based employees at specified percentages of the salaries, bonuses and certain allowances of such employees, up to a maximum amount specified by the local governments in China.</w:t>
      </w:r>
    </w:p>
    <w:p>
      <w:pPr>
        <w:spacing w:after="0" w:line="202"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We enter into standard employment agreements with our employees. Our employment agreements with our senior management include standard confidentiality and non-compete clauses.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34"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Our headquarters are located in Shanghai, where we leased an aggregate area of over 7,700 square meters as of March 31, 2021 for office space. As of March 31, 2021, we had seven operation centers with an aggregate floor area of approximately 39,967 square meters across Mainland China and Hong Kong.</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servers are hosted in Hangzhou, China. These data centers are owned and maintained by third-party data center operators. We believe that our existing facilities are sufficient for our current needs, and we will obtain additional facilities, principally through leasing, to accommodate our future expansion plans as needed.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March 31, 2021, we leased properties for all of our 443 directly operated offline AHS stores across 24 cities in China.</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provide social security insurance for our employees as required by PRC law. Consistent with customary industry practice in China, we do not maintain business interruption or product transportation insurance, nor do we maintain key-man insurance. See “Risk Factors—Risk Factors Related to Our Business and Industry—We have limited insurance coverage, which could expose us to significant costs and business disruption.”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34"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60"/>
          </w:cols>
          <w:pgMar w:left="320" w:top="459"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REGULATION</w:t>
      </w:r>
    </w:p>
    <w:p>
      <w:pPr>
        <w:spacing w:after="0" w:line="234" w:lineRule="exact"/>
        <w:rPr>
          <w:sz w:val="20"/>
          <w:szCs w:val="20"/>
          <w:color w:val="auto"/>
        </w:rPr>
      </w:pPr>
    </w:p>
    <w:p>
      <w:pPr>
        <w:jc w:val="both"/>
        <w:ind w:left="120" w:right="460" w:firstLine="551"/>
        <w:spacing w:after="0" w:line="274" w:lineRule="auto"/>
        <w:rPr>
          <w:sz w:val="20"/>
          <w:szCs w:val="20"/>
          <w:color w:val="auto"/>
        </w:rPr>
      </w:pPr>
      <w:r>
        <w:rPr>
          <w:rFonts w:ascii="Arial" w:cs="Arial" w:eastAsia="Arial" w:hAnsi="Arial"/>
          <w:sz w:val="17"/>
          <w:szCs w:val="17"/>
          <w:color w:val="auto"/>
        </w:rPr>
        <w:t>We are subject to a variety of PRC laws, rules and regulations affecting many aspects of our business. This section sets out a summary of the major relevant laws, regulations, rules and policies which may have material impact on our business and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the Circulation of Pre-owned Electronics</w:t>
      </w:r>
    </w:p>
    <w:p>
      <w:pPr>
        <w:spacing w:after="0" w:line="234"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Measures for Administration of the Circulation of Second-hand Goods (for Trial Implementation) issued by the Ministry of Internal Trade of the PRC (which is the predecessor of the MOFCOM) and the Ministry of Public Security of the PRC on March 9, 1998 requires that second-hand goods operators shall record the names of entities and the resident identity cards of individuals that/who sell or consign for sale, or are entrusted to sell or consign for sale second-hand goods; and shall strictly check the power of attorney of the entrusting entities and resident identity cards of the entrusting individuals.</w:t>
      </w:r>
    </w:p>
    <w:p>
      <w:pPr>
        <w:spacing w:after="0" w:line="202"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The Administrative Measures for the Recycling of Renewable Resources, or the Recycling of Renewable Resources Measures, which initially took effect on March 27, 2007 and amended by the MOFCOM and other authorities on November 30, 2019, regulates “renewable resources” including all kinds of wastes that are generated in social production and living and consumption, and that have lost all or part of their use value, but can regain use value through recovery and processing, including discarded electronic products, etc. To engage in renewable resources recovery business, a recycling operator can start business only after getting a business license, and the business scope specified on the business license shall include the business of recycling of renewable resources. In addition to the requirements under the Recycling of Renewable Resources Measures, a recycling operator engaging in the purchase and sale of pre-owned electric appliances and electronic products shall also comply with other more specific requirements set forth in other laws and regulations.</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Administrative Measures on the Circulation of Pre-owned Electrical and Electronic Products, or the Pre-owned Electronics Circulation Measures, promulgated by the MOFCOM on March 15, 2013, further specifies the requirements under the above two regulations. According to the Pre-owned Electronics Circulation Measures, recycling operators engaging in the purchase and sale of pre-owned electric appliances and electronic products shall record information of the purchased products, including the product name, trademark, model, original purchase voucher or identity information of sellers of the products. Pre-owned electric appliances and electronic products to be sold shall be labeled as used products in a prominent position. Recycling operators are prohibited from purchasing the following electric appliances and electronic products: (i) those sealed up or impounded according to the law, (ii) those that are obtained by stealing, robbing, swindling, smuggling or other illegal criminal means by the sellers and clearly known by such operator, (iii) those whose legitimate sources cannot be explained, and (iv) other used electrical and electronic products which are forbidden to be purchased according to laws and administrative regulations. Violation of the above provision may result in a fine up to RMB30,000 to be imposed on the recycling operator, or even criminal liability if the case is serious enough. It is also clarified that purchase and sale of pre-owned electric appliances and electronic products through the Internet shall also comply with the requirements under the Pre-owned Electronics Circulation Measures.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Foreign Investment</w:t>
      </w:r>
    </w:p>
    <w:p>
      <w:pPr>
        <w:spacing w:after="0" w:line="234"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Foreign Investment Law and the Implementing Regulations of the Foreign Investment Law provide that a system of pre-entry national treatment and negative list shall be applied for the administration of foreign investment, where “pre-entry national treatment” means that the treatment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given to foreign investors and their investments at market entry stage is no less favorable than that given to domestic investors and their investments, and “negative list” means the special administrative measures for foreign investment’s entry to specific fields or industries. Foreign investments beyond the negative list will be granted national treatment. Foreign investors shall not invest in the prohibited fields as specified in the negative list, and foreign investors who invest in the restricted fields shall comply with certain special requirements on shareholding and senior management personnel, etc. In the meantime, relevant competent government departments will formulate a catalogue of the specific industries, fields and regions in which foreign investors are encouraged and guided to invest according to the national economic and social development needs. The current industry entry clearance requirements governing investment activities in the PRC by foreign investors are set out in two categories, namely The Special Management Measures for the Entry of Foreign Investment (Negative List) (2020 version), or the 2020 Negative List, as promulgated on June 23, 2020 by the National Development and Reform Commission, or the NDRC, and the Ministry of Commerce, or the MOFCOM, and became effective on July 23, 2020, and the Encouraged Industry Catalogue for Foreign Investment (2020 version), as promulgated by the NDRC and the MOFCOM on December 27, 2020 and became effective on January 27, 2021. Industries not listed in these two catalogues are generally deemed “permitted” for foreign investment unless specifically restricted by other PRC laws. According to the 2020 Negative List, foreign equity ownership in any given value-added telecommunications services provider shall not exceed 50% (excluding e-commerce, domestic multi-party telecommunication, storage and forwarding business, and call center).</w:t>
      </w:r>
    </w:p>
    <w:p>
      <w:pPr>
        <w:spacing w:after="0" w:line="21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order to coincide with the implementation of the Foreign Investment Law (as defined below) and the Implementing Regulations of the Foreign Investment Law (as defined below), the MOFCOM and the SAMR promulgated the Measures for Reporting of Information on Foreign Investment on December 30, 2019, effective from January 1, 2020, which provides that foreign investors or foreign-invested enterprises shall submit investment information by submitting initial reports, change reports, deregistration reports, and annual reports through an enterprise registration system and a national enterprise credit information publicity system. Announcement of the Ministry of Commerce [2019] No.62—Announcement on Matters Concerning the Reporting of Information on Foreign Investment promulgated by MOFCOM on December 31, 2019 and Circular of the State Administration for Market Regulation on Effective Work on Registration of Foreign-invested Enterprises for the Implementation of the Foreign Investment Law promulgated by SAMR on December 28, 2019 further refine the related rules.</w:t>
      </w:r>
    </w:p>
    <w:p>
      <w:pPr>
        <w:spacing w:after="0" w:line="207"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7"/>
          <w:szCs w:val="17"/>
          <w:color w:val="auto"/>
        </w:rPr>
        <w:t>On March 15, 2019, the National People’s Congress, or the NPC, promulgated the Foreign Investment Law of the PRC, or the Foreign Investment Law, which became effective on January 1, 2020 and replaced the Sino-foreign Equity Joint Venture Enterprise Law, the Sino-foreign Cooperative Joint Venture Enterprise Law and the Wholly Foreign-invested Enterprise Law, together with their implementation rules and ancillary regulations. The organization form, organization and activities of foreign-invested enterprises shall be governed, among others, by the PRC Company Law and the PRC Partnership Enterprise Law. Foreign-invested enterprises established before the implementation of the Foreign Investment Law may maintain their original organization form and structure within five years after the implementation of the Foreign Investment Law. The Foreign Investment Law mainly provides for four forms of foreign investments:</w:t>
      </w:r>
    </w:p>
    <w:p>
      <w:pPr>
        <w:ind w:left="380" w:hanging="264"/>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establishment of a foreign invested enterprise within PRC by a foreign investor, individually or collectively with other investors;</w:t>
      </w:r>
    </w:p>
    <w:p>
      <w:pPr>
        <w:ind w:left="120" w:right="140" w:hanging="4"/>
        <w:spacing w:after="0" w:line="248" w:lineRule="auto"/>
        <w:tabs>
          <w:tab w:leader="none" w:pos="39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acquisition of shares or equity interests in, asset interests of, or other like rights and interests of an enterprise within PRC by a foreign investor; (c) investments in a new project within the PRC by a foreign investor, individually or collectively with other investors, and</w:t>
      </w:r>
    </w:p>
    <w:p>
      <w:pPr>
        <w:spacing w:after="0" w:line="1" w:lineRule="exact"/>
        <w:rPr>
          <w:rFonts w:ascii="Arial" w:cs="Arial" w:eastAsia="Arial" w:hAnsi="Arial"/>
          <w:sz w:val="17"/>
          <w:szCs w:val="17"/>
          <w:color w:val="auto"/>
        </w:rPr>
      </w:pPr>
    </w:p>
    <w:p>
      <w:pPr>
        <w:ind w:left="120" w:right="180" w:hanging="4"/>
        <w:spacing w:after="0"/>
        <w:tabs>
          <w:tab w:leader="none" w:pos="39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foreign investors’ investments in the PRC through any other methods under laws, administrative regulations, or provisions prescribed by the State Council of the PRC. It does not address the concept and regulatory regime of VIE structures and uncertainties remain in relation to its interpretation and implementation.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December 26, 2019, the State Council promulgated the Implementing Regulations of the Foreign Investment Law of the People’s Republic of China, or the Implementing Regulations of the Foreign Investment Law, which became effective on January 1, 2020. The Implementing Regulations of the Foreign Investment Law strictly implements the legislative principles and purpose of the Foreign Investment Law. It emphasizes promoting and protecting the foreign investment and refines the specific measures to be implemented. On the same day, the Supreme People’s Court issued an Interpretation on the Application of the Foreign Investment law of the PRC, effective as of January 1, 2020. This interpretation applies to all contractual disputes arising from the acquisition of the relevant rights and interests by a foreign investor by way of gift, division of property, merger of enterprises, division of enterprises.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on Value-Added Telecommunications Services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investment in value-added telecommunications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Foreign direct investment in telecommunications companies in China is regulated by the Administrative Provisions on Foreign-Invested Telecommunications Enterprises, or the FITE Regulation, which was issued by the State Council on December 11, 2001 and last amended on February 6, 2016. The FITE Regulation provides that a foreign-invested telecommunications enterprise in the PRC, or the FITE, must be established as a sino-foreign equity joint venture for operations in the PRC. Under the FITE Regulation and in accordance with WTO-related agreements, the foreign party investing in a FITE engaging in value-added telecommunications services may hold up to 50% of the ultimate equity interests of the FITE. In addition, the major foreign party as the shareholder of the FITE must satisfy a number of stringent performance and operational experience requirements, including demonstrating a good track record and experience in operating a value-added telecommunications business. The FITE that meets these requirements must obtain approvals from the Ministry of Industry and Information Technology, or the MIIT, and MOFCOM or their authorized local counterparts, which retain considerable discretion in granting approvals. Furthermore, the foreign party investing in e-commerce business, as a type of value-added telecommunications services, has been allowed to hold up to 100% of the equity interests of the FITE based on the Circular of the Ministry of Industry and Information Technology on Removing the Restrictions on Shareholding Held by Foreign Investors in Online Data Processing and Transaction Processing (Operating E-commerce) Business issued on June 19, 2015 and the current effective Catalogue of Telecommunications Services, or the Telecom Catalog.</w:t>
      </w:r>
    </w:p>
    <w:p>
      <w:pPr>
        <w:spacing w:after="0" w:line="21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On July 13, 2006, the Ministry of Information Industry of the PRC, or the MII (which is the predecessor of the MIIT) promulgated the Notice of the Ministry of Information Industry on Strengthening the Administration of Foreign Investment in Value-added Telecommunications Business, or the MII Notice, which reiterates certain requirements of the FITE Regulations and strengthens the administration by the MII. Under the MII Notice, if a foreign investor intends to invest in PRC value-added telecommunications business, the foreign investor must establish a foreign invested enterprise and apply for the relevant license for value-added telecommunications services, or the VATs License. In addition, a domestic company that holds a VATs License is prohibited from leasing, transferring or selling the license to foreign investors in any form, and from providing any assistance, including providing resources, sites or facilities, to foreign investors to conduct value-added telecommunications businesses illegally in China. Trademarks and domain names that are used in the provision of value-added telecommunications services must be owned by the license holder or its shareholders. The MII Notice also requires that each value-added telecommunications services license holder have appropriate facilities for its approved business operations and maintain such facilities in the business regions covered by its license. The holder of a VATs License shall improve relevant measures for safeguarding the network and information, establish relevant administrative policies on information safety, set up the procedures for handling emergencies of network and information safety and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implement the liabilities for information safety in accordance with the standards set forth in the relevant PRC regulations.</w:t>
      </w:r>
    </w:p>
    <w:p>
      <w:pPr>
        <w:spacing w:after="0" w:line="21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Due to a lack of interpretive materials from the relevant PRC governmental authorities, there are uncertainties regarding whether PRC governmental authorities would consider our corporate structure and contractual arrangements to constitute foreign ownership of a value-added telecommunications business. See “Risk Factors—Risks Relating to Doing Business in China—If the PRC government finds that the agreements that establish the structure for operating some of our operations in China do not comply with PRC regulations relating to the relevant industries, or if these regulations or the interpretation of existing regulations change in the future, we could be subject to severe penalties or be forced to relinquish our interests in those operations.” In order to comply with PRC regulatory requirements, we operate a portion of our business through our VIE, with which we have contractual relationships but in which we do not have direct ownership interest. If our current ownership structure is found to be in violation of current or future PRC laws, rules or regulations regarding the legality of foreign investment in the PRC internet sector, we could be subject to severe penalties.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Telecommunications regulations</w:t>
      </w:r>
    </w:p>
    <w:p>
      <w:pPr>
        <w:spacing w:after="0" w:line="12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Telecommunications Regulations of the PRC, or the Telecom Regulations, promulgated on September 25, 2000 and amended on July 29, 2014 and February 6, 2016 respectively, are the primary PRC regulations governing telecommunications services, which set out the general framework for the provision of telecommunications services within the PRC. The Telecom Regulations require that telecommunications service providers shall obtain licenses prior to commencing operations. The Telecom Regulations draw a distinction between basic telecommunications services and value-added telecommunications services. The Telecom Catalog, promulgated by MII on February 21, 2003 and most recently amended by the MIIT on June 6, 2019, and issued as an attachment to the Telecom Regulations, identifies internet information services and online data processing and transaction processing as value-added telecommunications services.</w:t>
      </w:r>
    </w:p>
    <w:p>
      <w:pPr>
        <w:spacing w:after="0" w:line="208" w:lineRule="exact"/>
        <w:rPr>
          <w:sz w:val="20"/>
          <w:szCs w:val="20"/>
          <w:color w:val="auto"/>
        </w:rPr>
      </w:pPr>
    </w:p>
    <w:p>
      <w:pPr>
        <w:ind w:left="120" w:right="300" w:firstLine="551"/>
        <w:spacing w:after="0" w:line="257" w:lineRule="auto"/>
        <w:rPr>
          <w:sz w:val="20"/>
          <w:szCs w:val="20"/>
          <w:color w:val="auto"/>
        </w:rPr>
      </w:pPr>
      <w:r>
        <w:rPr>
          <w:rFonts w:ascii="Arial" w:cs="Arial" w:eastAsia="Arial" w:hAnsi="Arial"/>
          <w:sz w:val="17"/>
          <w:szCs w:val="17"/>
          <w:color w:val="auto"/>
        </w:rPr>
        <w:t>On July 3, 2017, the MIIT issued the revised Administrative Measures for the Licensing of Telecommunications Business, or the Telecom License Measures, which became effective on September 1, 2017, to supplement the Telecom Regulations. The Telecom License Measures require that an operator of value-added telecommunications services obtain a VATs License from the MIIT or its provincial level counterparts. The term of a VATs License is five years and the license holder is subject to annual inspection.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Internet information services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September 25, 2000, the State Council promulgated the Measures for the Administration of Internet Information Services, or the ICP Measures, as amended on January 8, 2011. Under the ICP Measures, internet information services are categorized into commercial internet information services and non-commercial internet information services. The operators of non-commercial internet information services must file with relevant governmental authorities and operators of commercial internet information services in China must obtain an ICP License from the relevant governmental authorities. And the provision of particular information services, such as news, publishing, education, healthcare, medicine and medical advice must also comply with relevant laws and regulations and obtain approval from competent governmental authorities.</w:t>
      </w:r>
    </w:p>
    <w:p>
      <w:pPr>
        <w:spacing w:after="0" w:line="203"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Internet information service providers are required to monitor their websites. They shall not post or disseminate any content that falls within prohibited categories provided by laws or administrative regulations and must stop providing any such content on their websites. The relevant PRC governmental authorities may order ICP License holders that violate the content restrictions to correct those violations and revoke their ICP Licenses in cases of gross violations.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MIIT released the Circular on Regulating the Use of Domain Names in Internet Information Services on November 27, 2017, effective from January 1, 2018, which provides that the domain names used by the internet information service provider in providing internet information services shall be registered and owned by such internet information service provider, and if the internet information service provider is a legal entity, the domain name registrant shall be the legal entity (or any of its shareholders), or its principal or senior manager.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E-Commerce</w:t>
      </w:r>
    </w:p>
    <w:p>
      <w:pPr>
        <w:spacing w:after="0" w:line="234"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On January 26, 2014, the State Administration for Industry and Commerce of the PRC (which is the predecessor of the SAMR), or the SAIC, promulgated the Administrative Measures for Online Trading, which became effective on March 15, 2014, to regulate all operating activities for product sales and services offered via the internet (including mobile internet). It stipulates the obligations of online products operators and services providers and certain special requirements applicable to third-party trading platform operators. This regulation has been superseded by the Online Transactions Measures (as defined below) since May 1, 2021.</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On January 6, 2017, the SAIC promulgated Interim Measures for Seven-day Unconditional Return of Online Purchased Goods, which became effective on March 15, 2017 and later amended on October 23, 2020. According to such measures, customers are entitled to return goods without reason, except for customized goods, fresh and perishable goods, audio-visual products, computer software and other digital products which are downloaded online or whose packages have been opened by consumers, and delivered newspapers or periodicals, and such other merchandize which is, as confirmed by the consumer at the time of purchase, not fit for the return policy by nature. Where the goods returned are intact, the online seller shall refund to the consumer the payments made for the goods within seven days upon receipt thereof.</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On August 31, 2018, the Standing Committee of the National People’s Congress promulgated the E-Commerce Law of the PRC, or the E-Commerce Law, which took effect on January 1, 2019. The promulgation of the E-Commerce Law established the basic legal framework for the development of China’s e-commerce business and clarified the obligations of the e-commerce business operators and the possible legal consequences if e-commerce business operators are found to be in violation of legal obligations. For example, pursuant to the E-Commerce Law, the e-commerce business operators shall disclose information about goods or services provided comprehensively, truthfully, accurately and promptly in order to protect the consumers’ rights to know and rights to choose. The e-commerce business operators shall not fabricate transactions or users’ comments to conduct false or misleading business promotions so as to defraud or mislead consumers. Violation of the provisions of the E-Commerce Law may result in being ordered to make corrections within a prescribed period of time, confiscation of illegally obtained gains, fines, suspension of business, inclusion of such violations in the credit records and possible civil liabilities.</w:t>
      </w:r>
    </w:p>
    <w:p>
      <w:pPr>
        <w:spacing w:after="0" w:line="2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March 15, 2021, the SAMR promulgated the Measures for the Supervision and Administration of Online Transactions, or the Online Transactions Measures, which came into effect on May 1, 2021. The Online Transactions Measures implements relevant legislative principles and purpose of the E-Commerce Law and refines a series of relevant laws and regulations. It further specifies the responsibilities of online trading platform operators and the requirements for protecting online consumers’ rights and interests.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Internet Security and Privacy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on Internet Security</w:t>
      </w:r>
    </w:p>
    <w:p>
      <w:pPr>
        <w:spacing w:after="0" w:line="126" w:lineRule="exact"/>
        <w:rPr>
          <w:sz w:val="20"/>
          <w:szCs w:val="20"/>
          <w:color w:val="auto"/>
        </w:rPr>
      </w:pPr>
    </w:p>
    <w:p>
      <w:pPr>
        <w:jc w:val="both"/>
        <w:ind w:left="120" w:right="160" w:firstLine="551"/>
        <w:spacing w:after="0" w:line="248" w:lineRule="auto"/>
        <w:rPr>
          <w:sz w:val="20"/>
          <w:szCs w:val="20"/>
          <w:color w:val="auto"/>
        </w:rPr>
      </w:pPr>
      <w:r>
        <w:rPr>
          <w:rFonts w:ascii="Arial" w:cs="Arial" w:eastAsia="Arial" w:hAnsi="Arial"/>
          <w:sz w:val="17"/>
          <w:szCs w:val="17"/>
          <w:color w:val="auto"/>
        </w:rPr>
        <w:t>The Decision in Relation to Protection of Internet Security enacted by the Standing Committee of the National People’s Congress on December 28, 2000, as amended in 2009, provides that, among other things, the following activities conducted through the internet, if constituting a crime under PRC laws, are subject to criminal punishment: (i) hacking into a computer or system of strategic importance;</w:t>
      </w:r>
    </w:p>
    <w:p>
      <w:pPr>
        <w:spacing w:after="0" w:line="2" w:lineRule="exact"/>
        <w:rPr>
          <w:sz w:val="20"/>
          <w:szCs w:val="20"/>
          <w:color w:val="auto"/>
        </w:rPr>
      </w:pPr>
    </w:p>
    <w:p>
      <w:pPr>
        <w:ind w:left="120" w:right="160" w:hanging="4"/>
        <w:spacing w:after="0" w:line="238" w:lineRule="auto"/>
        <w:tabs>
          <w:tab w:leader="none" w:pos="3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intentionally inventing and spreading destructive programs such as computer viruses to attack the computer system and the communications network, thus damaging the computer system and the communications networks; (iii) in violation of national regulations, discontinuing the computer network or the communications service without authorization; (iv) leaking state secrets; (v) spreading false commercial information; or (vi) infringing intellectual property rights through internet.</w:t>
      </w:r>
    </w:p>
    <w:p>
      <w:pPr>
        <w:spacing w:after="0" w:line="205"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7"/>
          <w:szCs w:val="17"/>
          <w:color w:val="auto"/>
        </w:rPr>
        <w:t>The Provisions on Technological Measures for Internet Security Protection, or the Internet Security Protection Measures, promulgated on December 13, 2005 by the Ministry of Public Security require internet service providers and online entity users to use interconnection technical measures for internet security protection, such as technical measures for preventing any matter or act that may endanger network security, including but not limited to computer viruses, invasion or attacks to the network, or destruction of the network. All internet access service providers are required to take measures to keep records of and preserve user registration information.</w:t>
      </w:r>
    </w:p>
    <w:p>
      <w:pPr>
        <w:spacing w:after="0" w:line="190"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On November 7, 2016, the Standing Committee of the National People’s Congress promulgated the Cyber Security Law, which came into effect on June 1, 2017, and applies to the construction, operation, maintenance and use of networks as well as the supervision and administration of cybersecurity in China. The Cyber 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administrators of networks and network service providers, are subject to various security protection-related obligations, including: (i) complying with security protection obligations in accordance with tiered cybersecurity system’s protection requirements, which include formulating internal security management rules and manual, appointing cybersecurity responsible personnel, adopting technical measures to prevent computer viruses and cybersecurity endangering activities, adopting technical measures to monitor and record network operation status and cybersecurity events; (ii) formulating cybersecurity emergency response plans, timely handling security risks, initiating emergency response plans, taking appropriate remedial measures and reporting to regulatory authorities; and (iii) providing technical assistance and support for public security and national security authorities for protection of national security and criminal investigations in accordance with the law. Network service providers who do not comply with the Cyber Security Law may be subject to fines, suspension of their businesses, shutdown of their websites, and revocation of their business licenses.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on Privacy Protection</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December 29, 2011, the MIIT issued the Several Provisions on Regulating the Market Order of Internet Information Services, pursuant to which an internet information service provider may not collect any user personal information or provide any such information to third parties without the consent of a user. In addition, an internet information service provider must expressly inform the users of the method, content and purpose of the collection and processing of such user personal information, and may only collect such information necessary for the provision of its services. An internet information service provider is also required to properly maintain the user personal information, and in case of any leak or likely leak of the user personal information, the internet information service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providers must take immediate remedial measures and, in severe circumstances, make an immediate report to the telecommunications regulatory authority.</w:t>
      </w:r>
    </w:p>
    <w:p>
      <w:pPr>
        <w:spacing w:after="0" w:line="197"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Pursuant to the Decision on Strengthening the Protection of Online Information, issued by the Standing Committee of the National People’s Congress in 2012, and the Order for the Protection of Telecommunication and Internet User Personal Information, issued by the MIIT in 2013, any collection and use of a user’s personal information must be subject to the consent of the user, be legal, reasonable and necessary and be limited to specified purposes, methods and scopes. An internet information service provider must also keep such information strictly confidential, and is further prohibited from divulging, tampering with or destroying any such information, or selling or providing such information to other parties. An internet information service provider is required to take technical and other measures to prevent the collected personal information from any unauthorized disclosure, damage or loss. Any violation of these laws and regulations may subject the internet information service provider to warnings, fines, confiscation of illegal gains, revocation of licenses, cancelation of filings, closedown of websites or even criminal liabilities.</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With respect to the security of information collected and used by mobile apps, pursuant to the Announcement of Conducting Special Supervision against the Illegal Collection and Use of Personal Information by Apps, which was issued on January 23, 2019, app operators should collect and use personal information in compliance with the Cybersecurity Law and should be responsible for the security of personal information obtained from users and take effective measures to strengthen the personal information protection. Furthermore, app operators must not force their users to make authorization by means of bundling, suspending installation or in other default forms and should not collect personal information in violation of laws, regulations or breach of user agreements. Such regulatory requirements were emphasized by the Notice on the Special Rectification of Apps Infringing upon User’s Personal Rights and Interests, which was issued by MIIT on October 31, 2019.</w:t>
      </w:r>
    </w:p>
    <w:p>
      <w:pPr>
        <w:spacing w:after="0" w:line="208"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On November 28, 2019, the CAC, the MIIT, the Ministry of Public Security and the SAMR jointly issued the Methods of Identifying Illegal Acts of Apps to Collect and Use Personal Information. This regulation further illustrates certain commonly-seen illegal practices of apps operators in terms of personal information protection, including “failure to publicize rules for collecting and using personal information”, “failure to expressly state the purpose, manner and scope of collecting and using personal information”, “collection and use of personal information without consent of users of such App”, “collecting personal information irrelevant to the services provided by such app in violation of the principle of necessity”, “provision of personal information to others without users’ consent”, “failure to provide the function of deleting or correcting personal information as required by laws” and “failure to publish information such as methods for complaints and reporting”. Among others, any of the following acts of an app operator will constitute “collection and use of personal information without consent of users”: (i) collecting an user’s personal information or activating the permission for collecting any user’s personal information without obtaining such user’s consent; (ii) collecting personal information or activating the permission for collecting the personal information of any user who explicitly refuses such collection, or repeatedly seeking for user’s consent such that the user’s normal use of such app is disturbed; (iii) any user’s personal information which has been actually collected by the app operator or the permission for collecting any user’s personal information activated by the app operator is beyond the scope of personal information which such user authorizes such app operator to collect; (iv) seeking for any user’s consent in a non-explicit manner; (v) modifying any user’s settings for activating the permission for collecting any personal information without such user’s consent; (vi) using users’ personal information and any algorithms to push any information from targeted sources, without providing the option of non-targeted pushing such information; (vii) misleading users to permit collecting their personal information or activating the permission for collecting such users’ personal information by improper methods such as fraud and deception; (viii) failing to provide users with the means and methods to withdraw their permission of collecting personal information; and (ix) collecting</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using personal information in violation of the rules for collecting and using personal information promulgated by such app operator.</w:t>
      </w:r>
    </w:p>
    <w:p>
      <w:pPr>
        <w:spacing w:after="0" w:line="21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7"/>
          <w:szCs w:val="17"/>
          <w:color w:val="auto"/>
        </w:rPr>
        <w:t>Pursuant to the Notice of the Supreme People’s Court, the Supreme People’s Procuratorate and the Ministry of Public Security on Legally Punishing Criminal Activities Infringing upon the Personal Information of Citizens, issued in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w:t>
      </w:r>
    </w:p>
    <w:p>
      <w:pPr>
        <w:spacing w:after="0" w:line="3" w:lineRule="exact"/>
        <w:rPr>
          <w:sz w:val="20"/>
          <w:szCs w:val="20"/>
          <w:color w:val="auto"/>
        </w:rPr>
      </w:pPr>
    </w:p>
    <w:p>
      <w:pPr>
        <w:ind w:left="120" w:right="80" w:hanging="4"/>
        <w:spacing w:after="0" w:line="238" w:lineRule="auto"/>
        <w:tabs>
          <w:tab w:leader="none" w:pos="37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205"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In addition, on May 28, 2020, the National People’s Congress of the PRC approved the PRC Civil Code, which came into effect on January 1, 2021. Pursuant to the PRC Civil Code, the collection, storage, use, process, transmission, provision and disclosure of personal information should follow the principles of legitimacy, properness and necessity.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Franchising Operations</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Administrative Regulations on Commercial Franchise Operations, or the Franchising Regulations, was promulgated by the State Counsel on February 6, 2007, effective from May 1, 2007, under which a franchisor shall have a well-established operation model, be able to provide the franchisee with long-term management guidance, technical support, business training and other services, and have at least two direct sales stores and have undertaken the business for more than a year. A franchisor shall, within 15 days of its first franchising contract signing, file with the competent commerce authority accordingly.</w:t>
      </w:r>
    </w:p>
    <w:p>
      <w:pPr>
        <w:spacing w:after="0" w:line="202" w:lineRule="exact"/>
        <w:rPr>
          <w:sz w:val="20"/>
          <w:szCs w:val="20"/>
          <w:color w:val="auto"/>
        </w:rPr>
      </w:pPr>
    </w:p>
    <w:p>
      <w:pPr>
        <w:ind w:left="120" w:right="80" w:firstLine="551"/>
        <w:spacing w:after="0" w:line="235" w:lineRule="auto"/>
        <w:rPr>
          <w:sz w:val="20"/>
          <w:szCs w:val="20"/>
          <w:color w:val="auto"/>
        </w:rPr>
      </w:pPr>
      <w:r>
        <w:rPr>
          <w:rFonts w:ascii="Arial" w:cs="Arial" w:eastAsia="Arial" w:hAnsi="Arial"/>
          <w:sz w:val="18"/>
          <w:szCs w:val="18"/>
          <w:color w:val="auto"/>
        </w:rPr>
        <w:t>Pursuant to the Franchising Regulations, a franchising contract shall include but not be limited to the following terms: the basic information of the franchisor and franchisees, the term of the contract, the type, amount and payment(s) of the franchising fees, the specific content of operation guidance, technical supports and business training as well as the method for providing the same, the quality requirements and quality control measures, the marketing and advertisements arrangements, the consumer protection and indemnification, the change, cancelation or termination of the contract, the breach of the contract, and the dispute resolution, which shall all be put in writing. Moreover, according to the Franchising Regulations, the franchisee shall be allowed to unilaterally cancel the franchising contract within a certain period of time; the franchising term, unless the franchisee otherwise agrees, shall be no less than three years (renewals are excluded); the purpose and refund conditions and means of the fees paid by the franchisee to the franchisor in advance of the establishment of the franchising contract shall be clarified in writing; the usage of publicity and promotion fees paid by the franchisee to the franchisor shall be disclosed to the franchisee in a timely manner; the franchisee may not transfer the franchise rights to a third party without the consent of the franchisor; and the franchisor shall report the information about the conclusion of franchise contracts in the previous year to the competent commerce authority in the first quarter of each year. In addition to the Franchising Regulations, the MOFCOM has also promulgated two implementing regulations: the Administrative Measures for Archival Filing of Commercial Franchises, promulgated on May 1, 2007, amended on December 12, 2011 and came into effect on February 1, 2012; and the Administrative Measures on</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80"/>
          </w:cols>
          <w:pgMar w:left="320" w:top="459"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Information Disclosure Requirements for Commercial Franchises, which was promulgated on April 30, 2007 and was then amended on February 23, 2012 and came into effect on April 1, 2012. The above two implementing regulations, together with the Franchising Regulations form the basic legal framework for the regulation of the PRC franchise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Product Quality and Consumers Protection</w:t>
      </w:r>
    </w:p>
    <w:p>
      <w:pPr>
        <w:spacing w:after="0" w:line="23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According to the PRC Civil Code, in the event of damage arising from a defective product, the victim may seek compensation from either the manufacturer or seller of such a product. If the defect is caused by the seller, the manufacturer shall be entitled to seek reimbursement from the seller upon compensation of the victim.</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According to the Product Quality Law of the PRC, which took effect on September 1, 1993 and was last amended on December 29, 2018, products for sale must satisfy relevant safety standards and sellers shall adopt measures to maintain the quality of products for sale. Sellers may not mix impurities or imitations into products, or pass counterfeit goods off as genuine ones, or defective products as good ones or substandard products as standard ones. For sellers, any violation of state or industrial standards for health and safety or other requirements may result in civil liabilities and administrative penalties, such as compensation for damages, fines, confiscation of products illegally manufactured or sold and the proceeds from the sales of such products illegally manufactured or sold and revoking business license; in addition, severe violations may subject the responsible individual or enterprise to criminal liabilities.</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According to the Consumers Rights and Interests Protection Law of the PRC, or the Consumers Rights and Interests Protection Law, which became effective on January 1, 1994 and was last amended on October 25, 2013, business operators should guarantee that the products and services they provide satisfy the requirements for personal or property safety, and provide consumers with authentic information about the quality, function, usage and term of validity of the products or services. The consumers whose interests have been damaged due to the products or services that they purchase or receive on the internet trading platforms may claim damages against sellers or service providers. Where the operators of the online trading platforms are unable to provide the real names, addresses and valid contact details of the sellers or service providers, the consumers may also claim damages against the operators of the online trading platforms. Operators of online trading platforms that clearly knew or should have known that sellers or service providers use their platforms to infringe upon the legitimate rights and interests of consumers but fail to take necessary measures must bear joint and several liabilities with the sellers or service providers. Moreover, if business operators deceive consumers or knowingly sell substandard or defective products, they should not only compensate consumers for their losses, but also pay additional damages equal to three times the price of the goods or services.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Tort</w:t>
      </w:r>
    </w:p>
    <w:p>
      <w:pPr>
        <w:spacing w:after="0" w:line="234"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According to Part VII Tort Liability of the PRC Civil Code, if damages to other persons are caused by defective products due to the fault of third parties, such as the parties providing transportation or warehousing, the producers and the sellers of the products have the right to recover their respective losses from such third parties. If defective products are identified after they have been put into circulation, the producers or the sellers shall take remedial measures such as issuance of a warning, recall of products, etc., in a timely manner. The producers or the sellers shall be liable under tort if they fail to take remedial measures in a timely manner or have not made efforts to take remedial measures, thus causing damages. If the products are produced or sold with known defects, causing deaths or severe adverse health issues, the infringed party has the right to claim punitive damages in addition to compensatory damages.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Advertising</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1994, the Standing Committee of the National People’s Congress of the PRC promulgated the Advertising Law of the PRC, or the Advertising Law, which was recently amended on April 29, 2021 and became effective on the same date. The Advertising Law regulates commercial advertising activities in the PRC and sets out the obligations of advertisers, advertising operators, advertising publishers and advertisement endorsers, and prohibits any advertisement from containing any obscenity, pornography, gambling, superstition, terrorism or violence-related content. Any advertiser in violation of such requirements on advertisement content will be ordered to cease publishing such advertisements and imposed a fine, the business license of such advertiser may be revoked, and the relevant authorities may revoke the approval document for advertisement examination and refuse to accept applications submitted by such advertiser for one year. In addition, any advertising operator or advertising publisher in violation of such requirements will be imposed a fine, and the advertisement fee received will be confiscated; in severe circumstances, the business license of such advertising operator or advertising publisher may be revoked.</w:t>
      </w:r>
    </w:p>
    <w:p>
      <w:pPr>
        <w:spacing w:after="0" w:line="206"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Interim Measures for the Administration of Internet Advertising, or the Internet Advertising Measures regulating the internet-based advertising activities were adopted by the SAIC on July 4, 2016 and became effective on September 1, 2016. According to the Internet Advertising Measures, internet advertisers are responsible for the authenticity of the advertisements content and all online advertisements must be marked “Advertisement” so that viewers can easily identify them as such. Publishing and circulating advertisements through the internet shall not affect the normal use of the internet by users. It is not allowed to induce users to click on the content of advertisements by any fraudulent means, or to attach advertisements or advertising links in the emails without permission. In addition, the following internet advertising activities are prohibited: (i) providing or using any applications or hardware to intercept, filter, cover, fast forward or otherwise restrict any authorized advertisement of other persons, (ii) using network pathways, network equipment or applications to disrupt the normal data transmission of advertisements, alter or block authorized advertisements of other persons or load advertisements without authorization, or (iii) using fraudulent statistical data, transmission effect or matrices relating to online marketing performance to induce incorrect quotations, seek undue interests or harm the interests of others.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Foreign Trade</w:t>
      </w:r>
    </w:p>
    <w:p>
      <w:pPr>
        <w:spacing w:after="0" w:line="234"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On November 7, 2016, the Foreign Trade Law of the PRC was promulgated by the Standing Committee of the National People’s Congress, which came into effect on the same day. The Foreign Trade Law provides that a foreign trade dealer engaged in import or export of goods or technologies shall register with the authority responsible for foreign trade under the State Council of the PRC or its authorized entities. The PRC customs authority shall not process the declaration and clearance procedures for the imported or exported goods where a foreign trade dealer fails to register as required.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Relating to Anti-Monopoly</w:t>
      </w:r>
    </w:p>
    <w:p>
      <w:pPr>
        <w:spacing w:after="0" w:line="23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On August 30, 2007, the Standing Committee of the National People’s Congress adopted the PRC Anti-Monopoly Law, or the AML, which became effective on August 1, 2008 and provides the regulatory framework for the PRC anti-monopoly. Under the AML, the prohibited monopolistic acts include monopolistic agreements, abuse of a dominant market position and concentration of businesses that may have the effect to eliminate or restrict competition.</w:t>
      </w:r>
    </w:p>
    <w:p>
      <w:pPr>
        <w:spacing w:after="0" w:line="205"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Pursuant to the AML, a business operator that possesses a dominant market position is prohibited from abusing its dominant market position, including conducting the following acts: (i) selling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48" w:lineRule="auto"/>
        <w:rPr>
          <w:sz w:val="20"/>
          <w:szCs w:val="20"/>
          <w:color w:val="auto"/>
        </w:rPr>
      </w:pPr>
      <w:r>
        <w:rPr>
          <w:rFonts w:ascii="Arial" w:cs="Arial" w:eastAsia="Arial" w:hAnsi="Arial"/>
          <w:sz w:val="17"/>
          <w:szCs w:val="17"/>
          <w:color w:val="auto"/>
        </w:rPr>
        <w:t>commodities at unfairly high prices or buying commodities at unfairly low prices; (ii) without justifiable reasons, selling commodities at prices below cost; (iii) without justifiable reasons, refusing to enter into transactions with their trading counterparts; (iv) without justifiable reasons, allowing trading counterparts to make transactions exclusively with itself or with the business operators designated by it;</w:t>
      </w:r>
    </w:p>
    <w:p>
      <w:pPr>
        <w:spacing w:after="0" w:line="2" w:lineRule="exact"/>
        <w:rPr>
          <w:sz w:val="20"/>
          <w:szCs w:val="20"/>
          <w:color w:val="auto"/>
        </w:rPr>
      </w:pPr>
    </w:p>
    <w:p>
      <w:pPr>
        <w:jc w:val="both"/>
        <w:ind w:left="120" w:right="580" w:hanging="4"/>
        <w:spacing w:after="0" w:line="248" w:lineRule="auto"/>
        <w:tabs>
          <w:tab w:leader="none" w:pos="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without justifiable reasons, tying commodities or imposing unreasonable trading conditions to transactions; (vi) without justifiable reasons, applying differential prices and other transaction terms among their trading counterparts who are on an equal footing; and</w:t>
      </w:r>
    </w:p>
    <w:p>
      <w:pPr>
        <w:spacing w:after="0" w:line="1" w:lineRule="exact"/>
        <w:rPr>
          <w:rFonts w:ascii="Arial" w:cs="Arial" w:eastAsia="Arial" w:hAnsi="Arial"/>
          <w:sz w:val="17"/>
          <w:szCs w:val="17"/>
          <w:color w:val="auto"/>
        </w:rPr>
      </w:pPr>
    </w:p>
    <w:p>
      <w:pPr>
        <w:ind w:left="460" w:hanging="344"/>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acts determined as abuse of dominant market position by the relevant governmental authorities.</w:t>
      </w:r>
    </w:p>
    <w:p>
      <w:pPr>
        <w:spacing w:after="0" w:line="212" w:lineRule="exact"/>
        <w:rPr>
          <w:sz w:val="20"/>
          <w:szCs w:val="20"/>
          <w:color w:val="auto"/>
        </w:rPr>
      </w:pPr>
    </w:p>
    <w:p>
      <w:pPr>
        <w:ind w:left="120" w:right="100" w:firstLine="551"/>
        <w:spacing w:after="0" w:line="236" w:lineRule="auto"/>
        <w:rPr>
          <w:sz w:val="20"/>
          <w:szCs w:val="20"/>
          <w:color w:val="auto"/>
        </w:rPr>
      </w:pPr>
      <w:r>
        <w:rPr>
          <w:rFonts w:ascii="Arial" w:cs="Arial" w:eastAsia="Arial" w:hAnsi="Arial"/>
          <w:sz w:val="18"/>
          <w:szCs w:val="18"/>
          <w:color w:val="auto"/>
        </w:rPr>
        <w:t>Pursuant to the AML and relevant regulations, when a concentration of undertakings occurs and reaches any of the following thresholds, the undertakings concerned shall file a prior notification with the anti-monopoly agency (i.e., the State Administration for Market Regulation), (i) the total global turnover of all operators participating in the transaction exceeded RMB10 billion in the preceding fiscal year and at least two of these operators each had a turnover of more than RMB400 million within China in the preceding fiscal year, or (ii) the total turnover within China of all the operators participating in the concentration exceeded RMB2 billion in the preceding fiscal year, and at least two of these operators each had a turnover of more than RMB400 million within China in the preceding fiscal year) are triggered, and no concentration shall be implemented until the anti-monopoly agency clears the anti-monopoly filing. “Concentration of undertakings” means any of the following: (i) merger of undertakings; (ii) acquisition of control over another undertaking by acquiring equity or assets; or (iii) acquisition of control over, or exercising decisive influence on, another undertaking by contract or by any other means. If business operators fail to comply with the AML or other relevant regulations, the anti-monopoly agency is empowered to cease the relevant activities, unwind the transactions, and confiscate illegal gains and fines.</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On February 7, 2021, the Anti-monopoly Commission of the State Council officially promulgated the Guidelines to Anti-Monopoly for Platform Economy, or the Anti-Monopoly Guidelines for Platform Economy. The Anti-Monopoly Guidelines for Platform Economy mainly covers five aspects, including general provisions, monopoly agreements, abusing market dominance, concentration of undertakings, and abusing of administrative powers eliminating or restricting competition. The Anti-Monopoly Guidelines for Platform Economy prohibits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 services to sell services or products, compulsory collection of unnecessary user data). In addition, the Anti-Monopoly Guidelines for Platform Economy also reinforces antitrust merger review for internet platform related transactions to safeguard market competition.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Intellectual Property Rights</w:t>
      </w:r>
    </w:p>
    <w:p>
      <w:pPr>
        <w:spacing w:after="0" w:line="23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terms of international conventions, China has entered into (including but not limited to) the Agreement on Trade-Related Aspects of Intellectual Property Rights, the Paris Convention for the Protection of Industrial Property, the Madrid Agreement Concerning the International Registration of Marks and the Patent Cooperation Treaty.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126"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According to the Patent Law of the PRC promulgated by the Standing Committee of the National People’s Congress on March 12, 1984 with the current effective version took effect from October 1,</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2009, and the Implementation Rules of the Patent Law of the PRC, which was promulgated by the State Council in June 2001 and last amended in January 2010, there are three types of patents in the PRC: invention patents, utility model patents and design patents. The protection period is 20 years for an invention patent and 10 years for a utility model patent and a design patent, commencing from their respective application dates. Any individual or entity that utilizes a patent or conducts any other activities that infringe a patent without prior authorization of the patent holder shall pay compensation to the patent holder and is subject to a fine imposed by relevant administrative authorities and, if constituting a crime, shall be held criminally liable in accordance with the law. According to the Patent Law of the PRC, any organization or individual that applies for a patent in a foreign country for an invention or utility model patent established in China is required to report to the NIPA for confidentiality examination.</w:t>
      </w:r>
    </w:p>
    <w:p>
      <w:pPr>
        <w:spacing w:after="0" w:line="20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On October 17, 2020, the Standing Committee of the National People’s Congress promulgated the Amendment to the Patent Law of the PRC, which will be effective from June 1, 2021, which provides, among others, that the protection period for a design patent will become 15 years.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Trade Secrets</w:t>
      </w:r>
    </w:p>
    <w:p>
      <w:pPr>
        <w:spacing w:after="0" w:line="126"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7"/>
          <w:szCs w:val="17"/>
          <w:color w:val="auto"/>
        </w:rPr>
        <w:t>According to the PRC Anti-Unfair Competition Law, which was promulgated by the Standing Committee of the NPC in September 1993 and last amended in April 2019, the term “trade secrets” refers to technical and business information that is unknown to the public, has utility, may create business interests or profits for its legal owners or holders, and is maintained as a secret by its legal owners or holders. Under the PRC Anti-Unfair Competition Law, business persons are prohibited from infringing others’ trade secrets by:</w:t>
      </w:r>
    </w:p>
    <w:p>
      <w:pPr>
        <w:spacing w:after="0" w:line="2" w:lineRule="exact"/>
        <w:rPr>
          <w:sz w:val="20"/>
          <w:szCs w:val="20"/>
          <w:color w:val="auto"/>
        </w:rPr>
      </w:pPr>
    </w:p>
    <w:p>
      <w:pPr>
        <w:ind w:left="120" w:right="300" w:hanging="4"/>
        <w:spacing w:after="0" w:line="248" w:lineRule="auto"/>
        <w:tabs>
          <w:tab w:leader="none" w:pos="390" w:val="left"/>
        </w:tabs>
        <w:numPr>
          <w:ilvl w:val="0"/>
          <w:numId w:val="87"/>
        </w:numPr>
        <w:rPr>
          <w:rFonts w:ascii="Arial" w:cs="Arial" w:eastAsia="Arial" w:hAnsi="Arial"/>
          <w:sz w:val="17"/>
          <w:szCs w:val="17"/>
          <w:color w:val="auto"/>
        </w:rPr>
      </w:pPr>
      <w:r>
        <w:rPr>
          <w:rFonts w:ascii="Arial" w:cs="Arial" w:eastAsia="Arial" w:hAnsi="Arial"/>
          <w:sz w:val="17"/>
          <w:szCs w:val="17"/>
          <w:color w:val="auto"/>
        </w:rPr>
        <w:t>obtaining the trade secrets from the legal owners or holders by any unfair methods such as theft, bribery, fraud, coercion, electronic intrusion, or any other illicit means; (2) disclosing, using or permitting others to use the trade secrets obtained illegally under item</w:t>
      </w:r>
    </w:p>
    <w:p>
      <w:pPr>
        <w:spacing w:after="0" w:line="1" w:lineRule="exact"/>
        <w:rPr>
          <w:rFonts w:ascii="Arial" w:cs="Arial" w:eastAsia="Arial" w:hAnsi="Arial"/>
          <w:sz w:val="17"/>
          <w:szCs w:val="17"/>
          <w:color w:val="auto"/>
        </w:rPr>
      </w:pPr>
    </w:p>
    <w:p>
      <w:pPr>
        <w:ind w:left="120" w:right="180" w:hanging="4"/>
        <w:spacing w:after="0" w:line="237" w:lineRule="auto"/>
        <w:tabs>
          <w:tab w:leader="none" w:pos="39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above; (3) disclosing, using or permitting others to use the trade secrets, in violation of any contractual agreements or any requirements of the legal owners or holders to keep such trade secrets in confidence; or (4) instigating, inducing or assisting others to violate a confidentiality obligation or to violate a rights holder’s requirements on keeping confidentiality of trade secrets, disclosing, using or permitting others to use the trade secrets of the rights holder. If a third party knows or should have known of the above-mentioned illegal conduct but nevertheless obtains, uses or discloses trade secrets of others, the third party may be deemed to have committed a misappropriation of the others’ trade secrets. The parties whose trade secrets are being misappropriated may petition for administrative corrections, and regulatory authorities may stop any illegal activities and fine infringing parties.</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Trademarks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According to the Trademark Law of the PRC promulgated by the Standing Committee of the NPC in August 1982, and last amended in April 2019, the period of validity for a registered trademark is ten years, commencing on the date of registration. The registrant shall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on the day immediately after the expiry of the preceding period of validity for the trademark. In the absence of a renewal upon expiry, the registered trademark shall be cancelled. Industrial and commercial administrative authorities have the authority to investigate any behavior that infringes the exclusive right under a registered trademark in accordance with the law. In case of a suspected criminal offense, the case shall be timely referred to a judicial authority and decided according to the law.</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Domain Names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Domain names are protected under the Administrative Measures on the Internet Domain Names, which was promulgated by the Ministry of Industry and Information Technology in August 2017, and the Implementing Rules on Registration of National Top-level Domain Names, which was promulgated by China Internet Network Information Center in and came into effect in June 2019. The Ministry of Industry and Information Technology is the main regulatory body responsible for the administration of PRC internet domain names. Domain name registrations are handled through domain name service agencies established under the relevant regulations, and the applicants become domain name holders upon successful registration.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Environment Protection</w:t>
      </w:r>
    </w:p>
    <w:p>
      <w:pPr>
        <w:spacing w:after="0" w:line="23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Pursuant to the Environmental Protection Law of the PRC promulgated by the Standing Committee of the NPC, in December 1989, amended in April 2014 and effective in January 2015, any entity which discharges or will discharge pollutants during its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 According to the provisions of the Environmental Protection Law, in addition to other relevant laws and regulations of the PRC, the Ministry of Environmental Protection and its local counterparts take charge of administering and supervising said environmental protection matters.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Pursuant to the PRC Environmental Protection Law, the environmental impact statement on any construction project must assess the pollution that the project is likely to produce and its impact on the environment, and stipulate preventive and curative measures; the statement shall be submitted to competent administrative department of environmental protection for approval. Installations for the prevention and control of pollution in construction projects must be designed, built and commissioned together with the principal part of the project.</w:t>
      </w:r>
    </w:p>
    <w:p>
      <w:pPr>
        <w:spacing w:after="0" w:line="202"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Pursuant to the PRC Environment Impact Assessment Law, which was promulgated in October 2002 and most recently amended in December 2018, the State implements a classification-based management on the environmental impact assessment of construction projects according to the impact of the construction projects on the environment. Construction units, which fall within corresponding classified administration catalog, shall prepare an Environmental Impact Report or an Environmental Impact Statement, or fill out the Environmental Impact Registration Form.</w:t>
      </w:r>
    </w:p>
    <w:p>
      <w:pPr>
        <w:spacing w:after="0" w:line="20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Pursuant to the Regulations on Urban Drainage and Sewage Disposal, which was promulgated in October 2013 and came into effect in January 2014, and the Measures for the Administration of Permits for the Discharge of Urban Sewage into the Drainage Network, which was promulgated in January 2015 and came into effect in March 2015, drainage entities covered by urban drainage facilities shall discharge sewage into urban drainage facilities in accordance with the relevant provisions of the state. Where a drainage entity needs to discharge sewage into urban drainage facilities, it shall apply for a drainage license in accordance with the provisions of these Measures. The drainage entity that has not obtained the drainage license shall not discharge sewage into urban drainage facilities.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Fire Protection</w:t>
      </w:r>
    </w:p>
    <w:p>
      <w:pPr>
        <w:spacing w:after="0" w:line="234"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The Fire Prevention Law of the PRC, or the Fire Prevention Law, was adopted in April 1998 and last amended in April 2021. The Fire Prevention Law provides that fire control design and construction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of a construction project shall comply with the State’s fire control technical standards. Developers, designers, builders and project supervisors shall be responsible for the quality of the fire control design and construction of the construction project pursuant to the law. Development project fire safety design examinations and acceptance systems shall be implemented for development projects which are required to have fire safety design in accordance with the national fire protection technical standards.</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According to the Eight Measures for the Public Security Fire Department to Deepen Reform and Serve Economic and Social Development promulgated by the Ministry of Public Security of the PRC in August 2015, the filing of fire protection design and completion acceptance with respect to fire protection of construction projects with an investment of less than RMB300,000 or a building area of less than 300 square meters (or below the limit set by the housing and urban construction department of the provincial people’s government) was no longer required.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Foreign Exchange and Dividend Distribution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Control</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According to the PRC Regulation for the Foreign Exchange promulgated by the State Council in January 1996, which was amended in January 1997 and August 2008, and the Regulation on the Administration of the Foreign Exchange Settlement, Sales and Payment promulgated by the People’s Bank of China in June 1996, foreign exchanges required for distribution of profits and payment of dividends may be purchased from designated foreign exchange banks in the PRC upon presentation of a board resolution authorizing distribution of profits or payment of dividends.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According to the Circular of the State Administration of Foreign Exchange, or the SAFE, on Further Improving and Adjusting the Foreign Exchange Policies on Direct Investment and its appendix promulgated in November 2012 and amended in May 2015, October 2018 and December 2019 by the SAFE, (1) the opening of and payment into foreign exchange accounts under direct investment accounts are no longer subject to approval by the SAFE; (2) reinvestment with legal income of foreign investors in China is no longer subject to approval by SAFE; (3) the procedures for capital verification and confirmation that foreign-funded enterprises need to go through are simplified; (4) purchase and external payment of foreign exchange under direct investment accounts are no longer subject to approval by SAFE; (5) domestic transfer of foreign exchange under direct investment account is no longer subject to approval by SAFE; and (6) the administration over the conversion of foreign exchange capital of foreign-invested enterprises is improved. Later, the SAFE promulgated the Circular on Further Simplifying and Improving Foreign Exchange Administration Policies in Respect of Direct Investment in February 2015, which was further amended in December 2019 and prescribed that the bank instead of the SAFE can directly handle the foreign exchange registration and approval under foreign direct investment while the SAFE and its branches indirectly supervise the foreign exchange registration and approval under foreign direct investment through the bank.</w:t>
      </w:r>
    </w:p>
    <w:p>
      <w:pPr>
        <w:spacing w:after="0" w:line="20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The Provisions on the Administration of Foreign Exchange in Foreign Direct Investments by Foreign Investors, which were promulgated by the SAFE in May 2013 and amended in October 2018 and December 2019, regulate and clarify the administration over foreign exchange administration in foreign direct investments.</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According to the Circular on the Reform of the Management Method for the Settlement of Foreign Exchange Capital of Foreign-invested Enterprises promulgated by the SAFE in Mach 2015 and amended in December 2019, and the Circular on the Reform and Standardization of the Management Policy of the Settlement of Capital Projects promulgated by the SAFE in June 2016, the settlement of foreign exchange by foreign invested enterprises shall be governed by the policy of foreign exchange settlement on a discretionary basis. However, the settlement of foreign exchange shall only be used for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9"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their own operational purposes within the business scope of the foreign invested enterprises and follow the principles of authenticity.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Distribution</w:t>
      </w:r>
    </w:p>
    <w:p>
      <w:pPr>
        <w:spacing w:after="0" w:line="126"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SAFE promulgated the Notice on Improving the Check of Authenticity and Compliance to Further Promote Foreign Exchange Control in January 2017, which stipulates several capital control measures with respect to outbound remittance of profits from domestic entities to offshore entities, including the following: (1) under the principle of genuine transaction, banks shall check board resolutions regarding profit distribution, the original version of tax filing records and audited financial statements; and (2) domestic entities shall hold income to account for previous years’ losses before remitting the profits. Moreover, domestic entities shall make detailed explanations of sources of capital and utilization arrangements, and provide board resolutions, contracts and other proof when completing the registration procedures in connection with an outbound investment.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Exchange Registration of Offshore Investment by PRC Residents</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SAFE promulgated the SAFE Circular 37 in July 2014. The SAFE Circular 37 requires PRC residents (including PRC institutions and individuals) to register with local branches of SAFE in connection with their direct or indirect offshore investment in an overseas special purpose vehicle, or the SPV, directly established or indirectly controlled by PRC residents for offshore investment and financing with their legally owned assets or interests in domestic enterprises, or their legally owned offshore assets or interests. Such PRC residents are also required to amend their registrations with the SAFE when there is a change to the basic information of the SPV, such as changes of a PRC resident individual shareholder, the name or operating period of the SPV, or when there is a significant change to the SPV, such as changes of the PRC individual resident’s increase or decrease of its capital contribution in the SPV, or any share transfer or exchange, merger, division of the SPV.</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Circular on Further Simplifying and Improving Foreign Exchange Administration Policies in Respect of Direct Investment, which was promulgated in February 2015 and effective in June 2015 and further amended in December 2019, provides that PRC residents may register with qualified banks instead of the SAFE in connection with their establishment or control of an offshore entity established for the purpose of overseas direct investment. The SAFE and its branches shall implement indirect supervision over foreign exchange registration of direct investment via the banks.</w:t>
      </w:r>
    </w:p>
    <w:p>
      <w:pPr>
        <w:spacing w:after="0" w:line="202"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Failure to comply with the registration procedures set forth in the SAFE Circular 37 may result in restrictions on the foreign exchange activities of the relevant onshore company, including the payment of dividends and other distributions to its offshore parent or affiliate, the capital inflow from the offshore entities and settlement of foreign exchange capital, and may also subject relevant onshore company or PRC residents to penalties under PRC foreign exchange administration regulations.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SAFE promulgated the Notice of the State Administration of Foreign Exchange on Reforming the Administration of Foreign Exchange Settlement of Capital of Foreign-invested Enterprises, or SAFE Circular 19 in April 2015, which took into effect in June 2015, in replacement of the Circular on the Relevant Operating Issues Concerning the 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Stock Incentive Plans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According to the Notice of the State Administration of Foreign Exchange on Issues Relating to the Foreign Exchange Administration for Domestic Individuals Participating in Stock Incentive Plan of Overseas Listed Company, or the Share Incentive Rules, which was issued on February 15, 2012 and other regulations, directors, supervisors, senior management and other employees participating in any share incentive plan of an overseas listed company who are PRC citizens or non-PRC citizens residing in China for a continuous period of not less than one year, subject to certain exceptions, are required to register with the SAFE. All such participants need to authorize a qualified PRC agent, such as a PRC subsidiary of the overseas listed company to register with the SAFE and handle foreign exchange matters such as opening accounts, transferring and settlement of the relevant proceeds. The Share Incentive Rules further require an offshore agent to be designated to handle matters in connection with the exercise of share options and sales of proceeds for the participants of the share incentive plans. Failure to complete the said SAFE registrations may subject us and the participants to fines and legal sanctions.</w:t>
      </w:r>
    </w:p>
    <w:p>
      <w:pPr>
        <w:spacing w:after="0" w:line="206" w:lineRule="exact"/>
        <w:rPr>
          <w:sz w:val="20"/>
          <w:szCs w:val="20"/>
          <w:color w:val="auto"/>
        </w:rPr>
      </w:pPr>
    </w:p>
    <w:p>
      <w:pPr>
        <w:ind w:left="120" w:right="220" w:firstLine="551"/>
        <w:spacing w:after="0" w:line="237" w:lineRule="auto"/>
        <w:rPr>
          <w:sz w:val="20"/>
          <w:szCs w:val="20"/>
          <w:color w:val="auto"/>
        </w:rPr>
      </w:pPr>
      <w:r>
        <w:rPr>
          <w:rFonts w:ascii="Arial" w:cs="Arial" w:eastAsia="Arial" w:hAnsi="Arial"/>
          <w:sz w:val="18"/>
          <w:szCs w:val="18"/>
          <w:color w:val="auto"/>
        </w:rPr>
        <w:t>In addition,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Labor</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Labor Law and Labor Contract Law</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Labor Law of the PRC, or the Labor Law, and its implementation rules provide that enterprises and institutions must establish and improve work safety and health system, strictly enforce national regulations and standards on work safety and health, and carry out work safety and health education for workers. Working safety and health facilities shall meet national standard. Enterprises and institutions shall provide workers with working safety and health conditions meeting national rules and standards on labor protection.</w:t>
      </w:r>
    </w:p>
    <w:p>
      <w:pPr>
        <w:spacing w:after="0" w:line="205" w:lineRule="exact"/>
        <w:rPr>
          <w:sz w:val="20"/>
          <w:szCs w:val="20"/>
          <w:color w:val="auto"/>
        </w:rPr>
      </w:pPr>
    </w:p>
    <w:p>
      <w:pPr>
        <w:ind w:left="120" w:right="180" w:firstLine="551"/>
        <w:spacing w:after="0" w:line="236" w:lineRule="auto"/>
        <w:rPr>
          <w:sz w:val="20"/>
          <w:szCs w:val="20"/>
          <w:color w:val="auto"/>
        </w:rPr>
      </w:pPr>
      <w:r>
        <w:rPr>
          <w:rFonts w:ascii="Arial" w:cs="Arial" w:eastAsia="Arial" w:hAnsi="Arial"/>
          <w:sz w:val="18"/>
          <w:szCs w:val="18"/>
          <w:color w:val="auto"/>
        </w:rPr>
        <w:t>The Labor Contract Law of the PRC, or the Labor Contract Law, and its implementation rules provide requirements concerning employment contracts between an employer and its employees. If an employer fails to enter into a written employment contract with an employee within one year from the date on which the employment relationship is established, the employer must rectify the situation by entering into a written employment contract with the employee and pay the employee twice the employee’s salary for the period from the one month anniversary of the commencement date of the employment relationship to the day prior to the execution of the written employment contract. The Labor Contract Law and its implementation rules also require compensation to be paid upon certain terminations. In addition, if an employer intends to enforce a non-compete provision in an employment contract or non-competition agreement with an employee, it has to compensate the employee on a</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monthly basis during the term of the restriction period after the termination or expiry of the labor contract. Employers in most cases are also required to provide severance payment to their employees after their employment relationship is terminated. According to the Labor Contract Law, if an employer requires the employees to work overtime, it shall pay the worker legally required working overtime salaries. When the employer fails to pay the relevant working overtime salary, it will be ordered to pay compensation to the employees at amount based on the actual working overtime salary that has not been duly paid.</w:t>
      </w:r>
    </w:p>
    <w:p>
      <w:pPr>
        <w:spacing w:after="0" w:line="2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Pursuant to the Interim Provisions on Labor Dispatch, which was promulgated by the Ministry of Human Resources and Social Security on January 24, 2014, effective from March 1, 2014, employers may employ dispatched workers in temporary, auxiliary or substitutable positions provided that the number of dispatched workers shall not exceed 10% of the total number of its workers. Pursuant to the Labor Law, if the employer violates the relevant labor dispatch regulations, the labor administrative department shall order it to make corrections within a prescribed time limit; if it fails to make corrections within the time limit, penalty will be imposed on the basis of more than RMB5,000 and less than RMB10,000 per person.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Social Insurance and Housing Provident Funds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According to the Social Insurance Law of PRC, which was promulgated by the Standing Committee of the NPC in October 2010 and came into effect in July 2011, and further amended in December 2018, and the Interim Regulations on the Collection and Payment of Social Security Funds, which was promulgated by the State Council in January 1999 and amended in March 2019, and the Regulations on the Administration of Housing Provident Funds, which was promulgated by the State Council in April 1999 and amended in March 2002 and March 2019, employers are required to contribute, on behalf of their employees, to a number of social security funds, including funds for basic pension insurance, unemployment insurance, basic medical insurance, occupational injury insurance, maternity insurance and to housing provident funds. Any employer who fails to contribute may be fined and ordered to make good the deficit within a stipulated time limit.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Regulations Relating to Taxation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Enterprise Income Tax</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According to the Enterprise Income Tax Law promulgated by the NPC in March 2007 and amended in February 2017 and December 2018, and the Implementation Rules of the Enterprise Income Tax Law of the PRC promulgated by the State Council in December 2007 and amended in April 2019, other than a few exceptions, the income tax rate for both domestic enterprises and foreign-invested enterprises is 25%. Enterprises are classified as either “resident enterprises” or “non-resident enterprises”. Besides enterprises established within the PRC, enterprises established outside China whose “de facto management bodies” are located in China are considered “resident enterprises” and subject to the uniform 25% enterprise income tax rate for their global income. A non-resident enterprise refers to an entity established under foreign law whose “de facto management bodies” are not within the PRC but which have an establishment or place of business in the PRC, or which do not have an establishment or place of business in the PRC but have income sourced within the PRC. An income tax rate of 10% will normally be applicable to dividends declared to non-PRC resident enterprise investors that do not have an establishment or place of business in the PRC, or that have such establishment or place of business but the relevant income is not effectively connected with the establishment or place of business, to the extent such dividends are derived from sources within the PRC.</w:t>
      </w:r>
    </w:p>
    <w:p>
      <w:pPr>
        <w:spacing w:after="0" w:line="204"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According to the Notice on Promoting the Implementation of Corporate Income Tax Policies for Advanced Technology Service Enterprises Nationwide, or the Notice, effective in January 2017, an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enterprise which is recognized as an “Advanced Technology Service Enterprises” under the Notice enjoys a reduced enterprise income tax rate of 15%.</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2009, the SAT, issued the Circular of the State Administration of Taxation on Issues Relating to Identification of PRC-Controlled Overseas Registered Enterprises as Resident Enterprises in accordance with the De Facto Standards of Organizational Management, or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senior management to carry out daily operations perform their duties is in China; (ii) decisions relating to the enterprise’s financial and human resource matters are made or are subject to approval by organizations or personnel in China; (iii) the enterprise’s primary assets, accounting books and records, company seals, and board and shareholders’ meeting minutes, are located or maintained in China; and (iv) at least 50% of voting board members or senior executives habitually reside in China.</w:t>
      </w:r>
    </w:p>
    <w:p>
      <w:pPr>
        <w:spacing w:after="0" w:line="203" w:lineRule="exact"/>
        <w:rPr>
          <w:sz w:val="20"/>
          <w:szCs w:val="20"/>
          <w:color w:val="auto"/>
        </w:rPr>
      </w:pPr>
    </w:p>
    <w:p>
      <w:pPr>
        <w:ind w:left="120" w:right="340" w:firstLine="551"/>
        <w:spacing w:after="0" w:line="238" w:lineRule="auto"/>
        <w:rPr>
          <w:sz w:val="20"/>
          <w:szCs w:val="20"/>
          <w:color w:val="auto"/>
        </w:rPr>
      </w:pPr>
      <w:r>
        <w:rPr>
          <w:rFonts w:ascii="Arial" w:cs="Arial" w:eastAsia="Arial" w:hAnsi="Arial"/>
          <w:sz w:val="18"/>
          <w:szCs w:val="18"/>
          <w:color w:val="auto"/>
        </w:rPr>
        <w:t>The SAT issued the Public Notice Regarding Certain Enterprise Income Tax Matters on Indirect Transfer of Properties by Non-Resident Enterprises, or SAT Public Notice 7 in February 2015. SAT Public Notice 7 extends its tax jurisdiction to not only indirect transfers but also transactions involving transfer of other taxable assets, through the offshore transfer of a foreign intermediate holding company.</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SAT also issued the Public Notice on Issues Relating to Withholding at Source of Income Tax of Non-resident Enterprises, or the SAT Public Notice 37 in October 2017, which came into effect on December 1, 2017. According to SAT Public Notice 37, where the non-resident enterprise fails to declare its tax payable pursuant to Article 39 of the EIT Law, the tax authority may order it to pay its tax due within required time limits, and the non-resident enterprise shall declare and pay its tax payable within such time limits specified by the tax authority.</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According to the Arrangement Between the Mainland of China and the Hong Kong Special Administrative Region for the Avoidance of Double Taxation and Prevention of Fiscal Evasion with Respect to Taxes on Income, or the Double Tax Avoidance Arrangement, which was promulgated and came into effect in August 2006,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which was promulgated by the State Administration of Taxation, the STA, in February 2009, if the relevant PRC tax authorities determine, in their discretion, that a company benefits from such reduced income tax rate due to a structure or arrangement that is primarily tax-driven, such PRC tax authorities may adjust the preferential tax treatment. Based on the Announcement on Certain Issues with Respect to the “Beneficial Owner” in Tax Treaties, which was promulgated by the STA in February 2018 and came into effect in April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Value Added Tax</w:t>
      </w:r>
    </w:p>
    <w:p>
      <w:pPr>
        <w:spacing w:after="0" w:line="12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For sales of pre-owned consumer electronic products, we are subject to the VAT levy rate of 3% under the simplified method and is exempted by 1% in comply with relevant PRC VAT regulations of CaiShui [2009] No.9 and CaiShui [2014] No.57. According to the Provisional Regulations of the PRC on Value-Added Tax, effective in January 1994 and further amended in November 2008, February 2016, and November 2017, and its implementation rules effected in January 1994 and amended in December 2008 and October 2011, except stipulated otherwise, taxpayers who sell goods, labor services or tangible personal property leasing services or import goods shall be subject to a 17% tax rate; taxpayers who sell transport services, postal services, basic telecommunications services, construction services, or real property leasing services, sell real property, transfer the land use right shall be subject to an 11% tax rate, and taxpayers who sell services or intangible assets shall be subject to a 6% tax rate.</w:t>
      </w:r>
    </w:p>
    <w:p>
      <w:pPr>
        <w:spacing w:after="0" w:line="208" w:lineRule="exact"/>
        <w:rPr>
          <w:sz w:val="20"/>
          <w:szCs w:val="20"/>
          <w:color w:val="auto"/>
        </w:rPr>
      </w:pPr>
    </w:p>
    <w:p>
      <w:pPr>
        <w:jc w:val="both"/>
        <w:ind w:left="120" w:right="220" w:firstLine="551"/>
        <w:spacing w:after="0"/>
        <w:rPr>
          <w:sz w:val="20"/>
          <w:szCs w:val="20"/>
          <w:color w:val="auto"/>
        </w:rPr>
      </w:pPr>
      <w:r>
        <w:rPr>
          <w:rFonts w:ascii="Arial" w:cs="Arial" w:eastAsia="Arial" w:hAnsi="Arial"/>
          <w:sz w:val="18"/>
          <w:szCs w:val="18"/>
          <w:color w:val="auto"/>
        </w:rPr>
        <w:t>According to the Circular of the Ministry of Finance and the State Administration of Taxation on Adjusting Value-added Tax Rates adopted in April 2018, as of May 2018, where a taxpayer engages in a taxable sales activity for the value-added tax purpose or imports goods, the previous applicable 17% and 11% rates are adjusted to 16% and 10%.</w:t>
      </w:r>
    </w:p>
    <w:p>
      <w:pPr>
        <w:spacing w:after="0" w:line="203" w:lineRule="exact"/>
        <w:rPr>
          <w:sz w:val="20"/>
          <w:szCs w:val="20"/>
          <w:color w:val="auto"/>
        </w:rPr>
      </w:pPr>
    </w:p>
    <w:p>
      <w:pPr>
        <w:jc w:val="both"/>
        <w:ind w:left="120" w:right="20" w:firstLine="551"/>
        <w:spacing w:after="0"/>
        <w:rPr>
          <w:sz w:val="20"/>
          <w:szCs w:val="20"/>
          <w:color w:val="auto"/>
        </w:rPr>
      </w:pPr>
      <w:r>
        <w:rPr>
          <w:rFonts w:ascii="Arial" w:cs="Arial" w:eastAsia="Arial" w:hAnsi="Arial"/>
          <w:sz w:val="18"/>
          <w:szCs w:val="18"/>
          <w:color w:val="auto"/>
        </w:rPr>
        <w:t>According to the Announcement on Relevant Policies for Deepening Value-Added Tax Reform, effective in April 2019, the 16% VAT tax rate, which applies to the sales or imported goods of a VAT general taxpayer, will be lowered to 13%; and the 10% VAT tax rate will be lowered to 9%.</w:t>
      </w:r>
    </w:p>
    <w:p>
      <w:pPr>
        <w:spacing w:after="0" w:line="203"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According to the Measures for the Exemption of Value-Added Tax from Cross-Border Taxable Activities in the Collection of Value-Added Tax in Lieu of Business Tax (for Trial Implementation) revised in June 2018, if domestic enterprises provide cross-border taxable activities such as professional technical services, technology transfer, software services, the above-mentioned cross-border taxable activities are exempt from VAT.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 Relating to Overseas Listing and M&amp;A</w:t>
      </w:r>
    </w:p>
    <w:p>
      <w:pPr>
        <w:spacing w:after="0" w:line="234"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On August 8, 2006, six PRC regulatory agencies, including the CSRC, promulgated the Rules on the Merger and Acquisition of Domestic Enterprises by Foreign Investors, or the M&amp;A Rules, which became effective on September 8, 2006 and were amended on June 22, 2009. The M&amp;A Rules, among other things, require overseas special purpose vehicles that are controlled by PRC companies or individuals formed for the purpose of seeking a public listing on an overseas stock exchange through acquisitions of PRC domestic companies of the aforementioned PRC companies or individuals using shares of such special purpose vehicles or shares held by their shareholders as consideration to obtain the approval from the CSRC prior to the listing and trading of such special purpose vehicle’s securities on an overseas stock exchange. In September 2006, the CSRC published on its official website procedures regarding applications for approval of overseas listings by special purpose vehicles. The CSRC approval procedures require the filing of a number of documents with the CSRC. Although (i) the CSRC currently has not issued any definitive rule or interpretation concerning whether offerings like ours under this prospectus are subject to the M&amp;A Rules; and (ii) no provision in the M&amp;A Rules clearly classifies contractual arrangements as a type of transaction subject to the M&amp;A Rules, the interpretation and application of the regulations remain unclear, and this offering may ultimately require approval from the CSRC. If CSRC approval is required, it is uncertain whether we could obtain such approval. Any failure to obtain CSRC approval for this offering within the prescribed timeframe would subject us to sanctions imposed by the CSRC and other PRC regulatory agencies.</w:t>
      </w:r>
    </w:p>
    <w:p>
      <w:pPr>
        <w:spacing w:after="0" w:line="214"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The M&amp;A Rules, and other regulations and rules concerning mergers and acquisitions established additional procedures and requirements that could make merger and acquisition activities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by foreign investors more time-consuming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w:t>
      </w:r>
    </w:p>
    <w:p>
      <w:pPr>
        <w:spacing w:after="0" w:line="205" w:lineRule="exact"/>
        <w:rPr>
          <w:sz w:val="20"/>
          <w:szCs w:val="20"/>
          <w:color w:val="auto"/>
        </w:rPr>
      </w:pPr>
    </w:p>
    <w:p>
      <w:pPr>
        <w:ind w:left="120" w:right="240" w:firstLine="551"/>
        <w:spacing w:after="0" w:line="236" w:lineRule="auto"/>
        <w:rPr>
          <w:sz w:val="20"/>
          <w:szCs w:val="20"/>
          <w:color w:val="auto"/>
        </w:rPr>
      </w:pPr>
      <w:r>
        <w:rPr>
          <w:rFonts w:ascii="Arial" w:cs="Arial" w:eastAsia="Arial" w:hAnsi="Arial"/>
          <w:sz w:val="18"/>
          <w:szCs w:val="18"/>
          <w:color w:val="auto"/>
        </w:rPr>
        <w:t>In addition, according to the Notice on Establishing the Security Review System for Mergers and Acquisitions of Domestic Enterprises by Foreign Investors issued by the General Office of the State Council on February 3, 2011 and taking effect as of March 4, 2011, and the Rules on Implementation of Security Review System for the Merger and Acquisition of Domestic Enterprises by Foreign Investors issued by MOFCOM on August 25, 2011 and taking effect as of September 1,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the regulations prohibit any activities attempting to bypass such security review, including by structuring the transaction through a proxy or contractual control arrangement.</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2180" w:type="dxa"/>
            <w:vAlign w:val="bottom"/>
          </w:tcPr>
          <w:p>
            <w:pPr>
              <w:spacing w:after="0"/>
              <w:rPr>
                <w:sz w:val="16"/>
                <w:szCs w:val="16"/>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Age</w:t>
            </w:r>
          </w:p>
        </w:tc>
        <w:tc>
          <w:tcPr>
            <w:tcW w:w="5620" w:type="dxa"/>
            <w:vAlign w:val="bottom"/>
          </w:tcPr>
          <w:p>
            <w:pPr>
              <w:spacing w:after="0"/>
              <w:rPr>
                <w:sz w:val="20"/>
                <w:szCs w:val="20"/>
                <w:color w:val="auto"/>
              </w:rPr>
            </w:pPr>
            <w:r>
              <w:rPr>
                <w:rFonts w:ascii="Arial" w:cs="Arial" w:eastAsia="Arial" w:hAnsi="Arial"/>
                <w:sz w:val="14"/>
                <w:szCs w:val="14"/>
                <w:b w:val="1"/>
                <w:bCs w:val="1"/>
                <w:color w:val="auto"/>
              </w:rPr>
              <w:t>Position/Title</w:t>
            </w:r>
          </w:p>
        </w:tc>
      </w:tr>
      <w:tr>
        <w:trPr>
          <w:trHeight w:val="189"/>
        </w:trPr>
        <w:tc>
          <w:tcPr>
            <w:tcW w:w="22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Kerry Xuefeng Chen</w:t>
            </w:r>
          </w:p>
        </w:tc>
        <w:tc>
          <w:tcPr>
            <w:tcW w:w="2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440" w:type="dxa"/>
            <w:vAlign w:val="bottom"/>
            <w:tcBorders>
              <w:top w:val="single" w:sz="8" w:color="CCEEFF"/>
            </w:tcBorders>
            <w:shd w:val="clear" w:color="auto" w:fill="CCEEFF"/>
          </w:tcPr>
          <w:p>
            <w:pPr>
              <w:spacing w:after="0"/>
              <w:rPr>
                <w:sz w:val="16"/>
                <w:szCs w:val="16"/>
                <w:color w:val="auto"/>
              </w:rPr>
            </w:pPr>
          </w:p>
        </w:tc>
        <w:tc>
          <w:tcPr>
            <w:tcW w:w="5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Co-founder, Chairman of the Board of Directors and Chief Executive</w:t>
            </w:r>
          </w:p>
        </w:tc>
      </w:tr>
      <w:tr>
        <w:trPr>
          <w:trHeight w:val="203"/>
        </w:trPr>
        <w:tc>
          <w:tcPr>
            <w:tcW w:w="22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Officer</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Yongliang Wang</w:t>
            </w:r>
          </w:p>
        </w:tc>
        <w:tc>
          <w:tcPr>
            <w:tcW w:w="31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37</w:t>
            </w: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Director and President</w:t>
            </w:r>
          </w:p>
        </w:tc>
      </w:tr>
      <w:tr>
        <w:trPr>
          <w:trHeight w:val="203"/>
        </w:trPr>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Lei Xu</w:t>
            </w:r>
          </w:p>
        </w:tc>
        <w:tc>
          <w:tcPr>
            <w:tcW w:w="31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46</w:t>
            </w: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Wei Tang</w:t>
            </w:r>
          </w:p>
        </w:tc>
        <w:tc>
          <w:tcPr>
            <w:tcW w:w="31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41</w:t>
            </w: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Chen Chen</w:t>
            </w:r>
          </w:p>
        </w:tc>
        <w:tc>
          <w:tcPr>
            <w:tcW w:w="31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41</w:t>
            </w: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 and Chief Financial Officer</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Jingbo Wang*</w:t>
            </w:r>
          </w:p>
        </w:tc>
        <w:tc>
          <w:tcPr>
            <w:tcW w:w="31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40</w:t>
            </w:r>
          </w:p>
        </w:tc>
        <w:tc>
          <w:tcPr>
            <w:tcW w:w="5620" w:type="dxa"/>
            <w:vAlign w:val="bottom"/>
          </w:tcPr>
          <w:p>
            <w:pPr>
              <w:spacing w:after="0" w:line="202" w:lineRule="exact"/>
              <w:rPr>
                <w:sz w:val="20"/>
                <w:szCs w:val="20"/>
                <w:color w:val="auto"/>
              </w:rPr>
            </w:pPr>
            <w:r>
              <w:rPr>
                <w:rFonts w:ascii="Arial" w:cs="Arial" w:eastAsia="Arial" w:hAnsi="Arial"/>
                <w:sz w:val="18"/>
                <w:szCs w:val="18"/>
                <w:color w:val="auto"/>
              </w:rPr>
              <w:t>Independent Director</w:t>
            </w:r>
          </w:p>
        </w:tc>
      </w:tr>
      <w:tr>
        <w:trPr>
          <w:trHeight w:val="203"/>
        </w:trPr>
        <w:tc>
          <w:tcPr>
            <w:tcW w:w="2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Guoxing Jiang*</w:t>
            </w:r>
          </w:p>
        </w:tc>
        <w:tc>
          <w:tcPr>
            <w:tcW w:w="318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w:t>
            </w:r>
          </w:p>
        </w:tc>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right="720" w:hanging="424"/>
        <w:spacing w:after="0" w:line="258"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Each of Mr. Jingbo Wang and Mr. Guoxing Jiang has accepted our appointment to be a director of our company, effective upon the SEC’s declaration of the effectiveness of our registration statement on Form F-1 of which this prospectus is a part.</w:t>
      </w:r>
    </w:p>
    <w:p>
      <w:pPr>
        <w:spacing w:after="0" w:line="17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i w:val="1"/>
          <w:iCs w:val="1"/>
          <w:color w:val="auto"/>
        </w:rPr>
        <w:t xml:space="preserve">Mr. Kerry Xuefeng Chen </w:t>
      </w:r>
      <w:r>
        <w:rPr>
          <w:rFonts w:ascii="Arial" w:cs="Arial" w:eastAsia="Arial" w:hAnsi="Arial"/>
          <w:sz w:val="18"/>
          <w:szCs w:val="18"/>
          <w:color w:val="auto"/>
        </w:rPr>
        <w:t>is our co-founder and has been serving as our chairman and chief executive officer since our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founding our company, Mr. Chen served as a product manager at SYKES China, a world leading provider of multichannel demand generation and customer engagement services for global brands, from July 2006 to June 2010. Mr. Chen received his bachelor’s degree from Tongji University in July 2002 and master’s degree from Fudan University in June 2006.</w:t>
      </w:r>
    </w:p>
    <w:p>
      <w:pPr>
        <w:spacing w:after="0" w:line="181"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i w:val="1"/>
          <w:iCs w:val="1"/>
          <w:color w:val="auto"/>
        </w:rPr>
        <w:t xml:space="preserve">Mr. Yongliang Wang </w:t>
      </w:r>
      <w:r>
        <w:rPr>
          <w:rFonts w:ascii="Arial" w:cs="Arial" w:eastAsia="Arial" w:hAnsi="Arial"/>
          <w:sz w:val="18"/>
          <w:szCs w:val="18"/>
          <w:color w:val="auto"/>
        </w:rPr>
        <w:t>has been serving as our director and president since June 2019. Prior to joining us, Mr. Wang was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Paipai business at JD Group since July 2008. Prior to that, Mr. Wang was a sales manager at Tianjin Samsung Opto-Electronics Co., Ltd. from January 2007 to February 2008 and the supervisor of the procurement center of Gome Electrical Appliances from July 2005 to January 2007. Mr. Wang received his bachelor’s degree from University of International Business and Economics in July 2005.</w:t>
      </w:r>
    </w:p>
    <w:p>
      <w:pPr>
        <w:spacing w:after="0" w:line="18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i w:val="1"/>
          <w:iCs w:val="1"/>
          <w:color w:val="auto"/>
        </w:rPr>
        <w:t xml:space="preserve">Mr. Lei Xu </w:t>
      </w:r>
      <w:r>
        <w:rPr>
          <w:rFonts w:ascii="Arial" w:cs="Arial" w:eastAsia="Arial" w:hAnsi="Arial"/>
          <w:sz w:val="18"/>
          <w:szCs w:val="18"/>
          <w:color w:val="auto"/>
        </w:rPr>
        <w:t>has been serving as our director since June 2019. Mr. Xu currently serves as the chief executive officer of JD Retail, and</w:t>
      </w:r>
      <w:r>
        <w:rPr>
          <w:rFonts w:ascii="Arial" w:cs="Arial" w:eastAsia="Arial" w:hAnsi="Arial"/>
          <w:sz w:val="18"/>
          <w:szCs w:val="18"/>
          <w:i w:val="1"/>
          <w:iCs w:val="1"/>
          <w:color w:val="auto"/>
        </w:rPr>
        <w:t xml:space="preserve"> </w:t>
      </w:r>
      <w:r>
        <w:rPr>
          <w:rFonts w:ascii="Arial" w:cs="Arial" w:eastAsia="Arial" w:hAnsi="Arial"/>
          <w:sz w:val="18"/>
          <w:szCs w:val="18"/>
          <w:color w:val="auto"/>
        </w:rPr>
        <w:t>is responsible for the development, operation and strategy of JD Retail business, both online and offline. Since joining JD Group in 2009, Mr. Xu has held several leadership roles within the sales and marketing divisions of JD Retail business, including head of marketing and branding, head of JD Wireless, and head of marketing and platform operations of JD Group. Under his leadership, JD Group was successfully rebranded from 360buy to JD.com and launched JD Group’s popular mascot—Joy. Mr. Xu was responsible for the launch of JD Plus, the first paid membership service in China’s e-commerce industry, as well as Super Brand Day strategic marketing program.</w:t>
      </w:r>
    </w:p>
    <w:p>
      <w:pPr>
        <w:spacing w:after="0" w:line="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Mr. Xu also leads JD Group’s Kepler open platform, a key pillar of JD Group’s “Retail as a Service” strategy that leverages JD Group’s strengths in logistics, marketing, financial services, and other areas to help partners to expand their online businesses. Before joining JD Group, Mr. Xu held several senior management roles in marketing and operations at Lenovo, Allyes and Belle E-Commerce. Mr. Xu currently also serves as the director of JD Health International Inc. (HKEx: 6618) and Dada Nexus Limited (Nasdaq: DADA). Mr. Xu holds an EMBA degree from China Europe International Business School.</w:t>
      </w:r>
    </w:p>
    <w:p>
      <w:pPr>
        <w:spacing w:after="0" w:line="184" w:lineRule="exact"/>
        <w:rPr>
          <w:sz w:val="20"/>
          <w:szCs w:val="20"/>
          <w:color w:val="auto"/>
        </w:rPr>
      </w:pPr>
    </w:p>
    <w:p>
      <w:pPr>
        <w:ind w:left="120" w:right="200" w:firstLine="551"/>
        <w:spacing w:after="0" w:line="250" w:lineRule="auto"/>
        <w:rPr>
          <w:sz w:val="20"/>
          <w:szCs w:val="20"/>
          <w:color w:val="auto"/>
        </w:rPr>
      </w:pPr>
      <w:r>
        <w:rPr>
          <w:rFonts w:ascii="Arial" w:cs="Arial" w:eastAsia="Arial" w:hAnsi="Arial"/>
          <w:sz w:val="18"/>
          <w:szCs w:val="18"/>
          <w:i w:val="1"/>
          <w:iCs w:val="1"/>
          <w:color w:val="auto"/>
        </w:rPr>
        <w:t xml:space="preserve">Mr. Wei Tang </w:t>
      </w:r>
      <w:r>
        <w:rPr>
          <w:rFonts w:ascii="Arial" w:cs="Arial" w:eastAsia="Arial" w:hAnsi="Arial"/>
          <w:sz w:val="18"/>
          <w:szCs w:val="18"/>
          <w:color w:val="auto"/>
        </w:rPr>
        <w:t>has been serving as our director since May 2021. Mr. Tang is the vice president of JD.com, Inc. and the head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Client Service Centre of JD Logistics, a subsidiary of JD.com, Inc. Mr. Tang is experienced in supply chain management. Since joining JD.com in March 2014, Mr. Tang has held several leadership roles within JD Logistics, including the head of Heavy Cargo</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Transportation Operation Department and Distribution Department in Eastern Area of China and the general manager of Central Area of China. Mr. Tang holds an EMBA degree from China Europe International Business School.</w:t>
      </w:r>
    </w:p>
    <w:p>
      <w:pPr>
        <w:spacing w:after="0" w:line="179"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i w:val="1"/>
          <w:iCs w:val="1"/>
          <w:color w:val="auto"/>
        </w:rPr>
        <w:t xml:space="preserve">Mr. Chen Chen </w:t>
      </w:r>
      <w:r>
        <w:rPr>
          <w:rFonts w:ascii="Arial" w:cs="Arial" w:eastAsia="Arial" w:hAnsi="Arial"/>
          <w:sz w:val="18"/>
          <w:szCs w:val="18"/>
          <w:color w:val="auto"/>
        </w:rPr>
        <w:t>has been serving as our chief financial officer since January 2021 and our director since May 2021.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us, Mr. Chen was the chief financial officer of Yunji Inc. from May 2018 to December 2020. Before joining Yunji Inc., Mr. Chen was a partner at Deloitte and served various positions at Deloitte since July 2002. Mr. Chen currently also serves as an independent director and the chairman of the audit committee of Q&amp;K International Group Limited. Mr. Chen is a member of the Association of International Certified Professional Accountants (AICPA) and China Institute of Certified Public Accountants (CICPA). Mr. Chen received his bachelor’s degree from Shanghai Jiaotong University.</w:t>
      </w:r>
    </w:p>
    <w:p>
      <w:pPr>
        <w:spacing w:after="0" w:line="18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i w:val="1"/>
          <w:iCs w:val="1"/>
          <w:color w:val="auto"/>
        </w:rPr>
        <w:t xml:space="preserve">Mr. Jingbo Wang </w:t>
      </w:r>
      <w:r>
        <w:rPr>
          <w:rFonts w:ascii="Arial" w:cs="Arial" w:eastAsia="Arial" w:hAnsi="Arial"/>
          <w:sz w:val="18"/>
          <w:szCs w:val="18"/>
          <w:color w:val="auto"/>
        </w:rPr>
        <w:t>will serve as our independent director immediately upon the effectiveness of our registration statement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F-1, of which this prospectus is a part. Mr. Wang has been the chief financial officer of Agora, Inc. (Nasdaq: API), a global cloud platform for real-time video and voice engagement, since January 2020. From February 2018 to January 2020, Mr. Wang was a director and the chief financial officer of Qutoutiao Inc. (Nasdaq: QTT), an operator of mobile content platforms in China. From October 2014 to February 2018, Mr. Wang served as the chief financial officer of Yintech Investment Holdings Limited (Nasdaq: YIN), a provider of investment and trading services in China. Prior to that, Mr. Wang worked at Deutsche Bank from July 2009 to October 2014, with the last position held as vice president in the corporate finance division. Mr. Wang received his bachelor’s degree in engineering from Tsinghua University in 2003, his master’s degree in computer science from the University of Hong Kong in 2005, and his PhD degree in management studies from the Saïd Business School of the University of Oxford in 2010.</w:t>
      </w:r>
    </w:p>
    <w:p>
      <w:pPr>
        <w:spacing w:after="0" w:line="191"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i w:val="1"/>
          <w:iCs w:val="1"/>
          <w:color w:val="auto"/>
        </w:rPr>
        <w:t xml:space="preserve">Mr. Guoxing Jiang </w:t>
      </w:r>
      <w:r>
        <w:rPr>
          <w:rFonts w:ascii="Arial" w:cs="Arial" w:eastAsia="Arial" w:hAnsi="Arial"/>
          <w:sz w:val="18"/>
          <w:szCs w:val="18"/>
          <w:color w:val="auto"/>
        </w:rPr>
        <w:t>will serve as our independent director immediately upon the effectiveness of our registration statement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F-1, of which this prospectus is a part. From November 2007 to November 2017, Mr. Jiang served as the vice chairman of the board and general manager of Shanghai Fudan Forward Technology Limited Company. From February 1995 to November 2007, Mr. Jiang held several positions in Fudan University and affiliated enterprises, including the vice director of School-Operating Industry Management Committee in Fudan University and chairman of the board of Shanghai Fudan Microelectronic Group Limited Company. Mr. Jiang received his bachelor’s degree in mathematics and computer science from Fudan University in 1987.</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Our board of directors will consist of seven directors upon the SEC’s declaration of effectiveness of our registration statement on Form F-1 of which this prospectus is a part.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interest at a meeting of our directors. Subject to the New York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shall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4" w:lineRule="exact"/>
        <w:rPr>
          <w:sz w:val="20"/>
          <w:szCs w:val="20"/>
          <w:color w:val="auto"/>
        </w:rPr>
      </w:pPr>
    </w:p>
    <w:p>
      <w:pPr>
        <w:jc w:val="both"/>
        <w:ind w:left="120" w:right="40" w:firstLine="551"/>
        <w:spacing w:after="0" w:line="261" w:lineRule="auto"/>
        <w:rPr>
          <w:sz w:val="20"/>
          <w:szCs w:val="20"/>
          <w:color w:val="auto"/>
        </w:rPr>
      </w:pPr>
      <w:r>
        <w:rPr>
          <w:rFonts w:ascii="Arial" w:cs="Arial" w:eastAsia="Arial" w:hAnsi="Arial"/>
          <w:sz w:val="17"/>
          <w:szCs w:val="17"/>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16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Our audit committee will consist of Mr. Jingbo Wang, Mr. Guoxing Jiang and Mr. Yongliang Wang. Mr. Jingbo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Wang will be the chairman of our audit committee. We have determined that Mr. Jingbo Wang and Mr.Guoxing Jiang satisfy the “independence” requirements of Section 303A of the Corporate Governance Rules of the New York Stock Exchange Rules and Rule</w:t>
      </w:r>
    </w:p>
    <w:p>
      <w:pPr>
        <w:spacing w:after="0" w:line="1" w:lineRule="exact"/>
        <w:rPr>
          <w:sz w:val="20"/>
          <w:szCs w:val="20"/>
          <w:color w:val="auto"/>
        </w:rPr>
      </w:pPr>
    </w:p>
    <w:p>
      <w:pPr>
        <w:jc w:val="both"/>
        <w:ind w:left="120" w:right="260"/>
        <w:spacing w:after="0"/>
        <w:rPr>
          <w:sz w:val="20"/>
          <w:szCs w:val="20"/>
          <w:color w:val="auto"/>
        </w:rPr>
      </w:pPr>
      <w:r>
        <w:rPr>
          <w:rFonts w:ascii="Arial" w:cs="Arial" w:eastAsia="Arial" w:hAnsi="Arial"/>
          <w:sz w:val="18"/>
          <w:szCs w:val="18"/>
          <w:color w:val="auto"/>
        </w:rPr>
        <w:t>10A-3 under the Exchange Act. We have determined that Mr. Jingbo Wang qualifies as an “audit committee financial expert.” The audit committee will oversee our accounting and financial reporting processes and the audits of the financial statements of our company. The audit committee will be responsible for, among other things:</w:t>
      </w:r>
    </w:p>
    <w:p>
      <w:pPr>
        <w:spacing w:after="0" w:line="108" w:lineRule="exact"/>
        <w:rPr>
          <w:sz w:val="20"/>
          <w:szCs w:val="20"/>
          <w:color w:val="auto"/>
        </w:rPr>
      </w:pPr>
    </w:p>
    <w:p>
      <w:pPr>
        <w:ind w:left="880" w:right="200" w:hanging="224"/>
        <w:spacing w:after="0" w:line="24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appointing the independent auditors and pre-approving all auditing and non-auditing services permitted to be performed by the independent auditors;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117"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 and</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75"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Our compensation committee will consist of Mr. Jingbo Wang, Mr. Guoxing Jiang and Mr. Lei Xu.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Jingbo Wang will be the chairman of our compensation committee. We have determined that Mr. Jingbo Wang and Mr. Guoxing Jiang satisfy the “independence” requirements of Section 303A of the Corporate Governance Rules of the New York Stock Exchange Rules.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106" w:lineRule="exact"/>
        <w:rPr>
          <w:sz w:val="20"/>
          <w:szCs w:val="20"/>
          <w:color w:val="auto"/>
        </w:rPr>
      </w:pPr>
    </w:p>
    <w:p>
      <w:pPr>
        <w:ind w:left="880" w:right="340" w:hanging="224"/>
        <w:spacing w:after="0" w:line="246"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recommending to the board for determination with respect to the compensation of our non-employee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similar arrangements; and</w:t>
      </w:r>
    </w:p>
    <w:p>
      <w:pPr>
        <w:spacing w:after="0" w:line="117"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w:t>
      </w:r>
    </w:p>
    <w:p>
      <w:pPr>
        <w:spacing w:after="0" w:line="175" w:lineRule="exact"/>
        <w:rPr>
          <w:sz w:val="20"/>
          <w:szCs w:val="20"/>
          <w:color w:val="auto"/>
        </w:rPr>
      </w:pPr>
    </w:p>
    <w:p>
      <w:pPr>
        <w:ind w:left="660"/>
        <w:spacing w:after="0"/>
        <w:tabs>
          <w:tab w:leader="none" w:pos="5240" w:val="left"/>
        </w:tabs>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Our nominating and corporate governance committee will consist of Mr.</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Jingbo Wang, Mr. Guoxing Jiang and Mr. Lei Xu.</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Mr. Jingbo Wang will be the chairman of our nominating and corporate governance committee. Mr. Jingbo Wang and Mr. Guoxing Jiang satisfy the “independence” requirements of Section 303A of the Corporate Governance Rules of the New York Stock Exchange Rules.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08" w:lineRule="exact"/>
        <w:rPr>
          <w:sz w:val="20"/>
          <w:szCs w:val="20"/>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w:t>
      </w:r>
    </w:p>
    <w:p>
      <w:pPr>
        <w:spacing w:after="0" w:line="117"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and diversity;</w:t>
      </w:r>
    </w:p>
    <w:p>
      <w:pPr>
        <w:spacing w:after="0" w:line="102"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board meetings and monitoring the functioning of the committees of the board; and</w:t>
      </w:r>
    </w:p>
    <w:p>
      <w:pPr>
        <w:spacing w:after="0" w:line="102" w:lineRule="exact"/>
        <w:rPr>
          <w:rFonts w:ascii="Arial" w:cs="Arial" w:eastAsia="Arial" w:hAnsi="Arial"/>
          <w:sz w:val="18"/>
          <w:szCs w:val="18"/>
          <w:color w:val="auto"/>
        </w:rPr>
      </w:pPr>
    </w:p>
    <w:p>
      <w:pPr>
        <w:ind w:left="880" w:right="14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Directors</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206"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102" w:lineRule="exact"/>
        <w:rPr>
          <w:sz w:val="20"/>
          <w:szCs w:val="20"/>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Directors and Officers</w:t>
      </w:r>
    </w:p>
    <w:p>
      <w:pPr>
        <w:spacing w:after="0" w:line="234"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Our directors may be elected by an ordinary resolution of our shareholders. Alternatively, our board of directors may, by the affirmative vote of a simple majority of the directors present and voting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at a board meeting appoint any person as a director to fill a casual vacancy on our board or as an addition to the existing board. Our directors are not automatically subject to a term of office and hold office until such time as they are removed from office by an ordinary resolution of our shareholders.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officers are appointed by and serve at the discretion of the board of directors, and may be removed by our board of directors.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3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to our detriment or material of the employment agreement.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208"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203" w:lineRule="exact"/>
        <w:rPr>
          <w:sz w:val="20"/>
          <w:szCs w:val="20"/>
          <w:color w:val="auto"/>
        </w:rPr>
      </w:pPr>
    </w:p>
    <w:p>
      <w:pPr>
        <w:ind w:left="120" w:firstLine="551"/>
        <w:spacing w:after="0" w:line="248" w:lineRule="auto"/>
        <w:rPr>
          <w:sz w:val="20"/>
          <w:szCs w:val="20"/>
          <w:color w:val="auto"/>
        </w:rPr>
      </w:pPr>
      <w:r>
        <w:rPr>
          <w:rFonts w:ascii="Arial" w:cs="Arial" w:eastAsia="Arial" w:hAnsi="Arial"/>
          <w:sz w:val="17"/>
          <w:szCs w:val="17"/>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w:t>
      </w:r>
    </w:p>
    <w:p>
      <w:pPr>
        <w:ind w:left="320" w:hanging="204"/>
        <w:spacing w:after="0" w:line="235" w:lineRule="auto"/>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solicit from any customer doing business with us during the effective term of the employment agreement business of the same or of a</w:t>
      </w:r>
    </w:p>
    <w:p>
      <w:pPr>
        <w:ind w:left="120"/>
        <w:spacing w:after="0" w:line="238" w:lineRule="auto"/>
        <w:rPr>
          <w:rFonts w:ascii="Arial" w:cs="Arial" w:eastAsia="Arial" w:hAnsi="Arial"/>
          <w:sz w:val="18"/>
          <w:szCs w:val="18"/>
          <w:color w:val="auto"/>
        </w:rPr>
      </w:pPr>
      <w:r>
        <w:rPr>
          <w:rFonts w:ascii="Arial" w:cs="Arial" w:eastAsia="Arial" w:hAnsi="Arial"/>
          <w:sz w:val="18"/>
          <w:szCs w:val="18"/>
          <w:color w:val="auto"/>
        </w:rPr>
        <w:t>similar nature to our business; (ii) 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but not limited to, with respect to any relationship or agreement between any vendor or supplier and us.</w:t>
      </w:r>
    </w:p>
    <w:p>
      <w:pPr>
        <w:spacing w:after="0" w:line="202" w:lineRule="exact"/>
        <w:rPr>
          <w:sz w:val="20"/>
          <w:szCs w:val="20"/>
          <w:color w:val="auto"/>
        </w:rPr>
      </w:pPr>
    </w:p>
    <w:p>
      <w:pPr>
        <w:jc w:val="both"/>
        <w:ind w:left="120" w:right="120" w:firstLine="551"/>
        <w:spacing w:after="0"/>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2020, we paid an aggregate of RMB0.9 million (US$0.1 million) in cash to our executive officers, and we did not pay any compensation to our non-executive directors. We have not set aside or accrued any amount to provide pension, retirement or other similar benefits to our directors and executive officers. Our PRC subsidiaries and our VIEs are required by law to make contributions equal to certain percentages of each employee’s salary for his or her pension insurance, medical insurance, unemployment insurance and other statutory benefits and a housing provident fund.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Plan</w:t>
      </w:r>
    </w:p>
    <w:p>
      <w:pPr>
        <w:spacing w:after="0" w:line="234"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March 2016, our shareholders and board of directors adopted the Amended and Restated Share Incentive Plan, which together with five subsequent amendments are referred to as the 2016 Plan in this prospectus, to grant share-based compensation awards to attract, motivate, retain and reward certain directors, officers, employees and other eligible persons and to further link the interests of award recipients with those of our shareholders. The maximum aggregate number of ordinary shares that may be issued under the 2016 Plan is 21,920,964 ordinary shares. As of the date of this prospectus, we have granted options to purchase a total of 28,464,273 ordinary shares under the 2016 Plan, among which options to purchase a total of 19,728,141 ordinary shares are outstanding.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paragraphs summarize the principal terms of the 2016 Plan.</w:t>
      </w:r>
    </w:p>
    <w:p>
      <w:pPr>
        <w:spacing w:after="0" w:line="19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i w:val="1"/>
          <w:iCs w:val="1"/>
          <w:color w:val="auto"/>
        </w:rPr>
        <w:t>Type of Awards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2016 Plan permits the awards of options, restricted share awards or unrestricted share awards.</w:t>
      </w:r>
    </w:p>
    <w:p>
      <w:pPr>
        <w:spacing w:after="0" w:line="212"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2016 Plan is administered by the board of directors of the Company or the compensation committee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The plan administrator is authorized and empowered to do all things it deems necessary or desirable in connection with the authorization of awards and the administration of the 2016 Plan, including determining the participants to receive awards, the type and number of awards to be granted to each participant, and the terms and conditions of each award.</w:t>
      </w:r>
    </w:p>
    <w:p>
      <w:pPr>
        <w:spacing w:after="0" w:line="181" w:lineRule="exact"/>
        <w:rPr>
          <w:sz w:val="20"/>
          <w:szCs w:val="20"/>
          <w:color w:val="auto"/>
        </w:rPr>
      </w:pPr>
    </w:p>
    <w:p>
      <w:pPr>
        <w:jc w:val="both"/>
        <w:ind w:left="120" w:right="720" w:firstLine="551"/>
        <w:spacing w:after="0" w:line="250" w:lineRule="auto"/>
        <w:rPr>
          <w:sz w:val="20"/>
          <w:szCs w:val="20"/>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Awards granted under the 2016 Plan are evidenced by an award agreement that sets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limitations for each award, which may include the term of the award, restrictions on transfer of the award, and the provisions applicable in the event that the grantee’s employment or service terminates.</w:t>
      </w:r>
    </w:p>
    <w:p>
      <w:pPr>
        <w:spacing w:after="0" w:line="177"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our employees, officers, directors, consultants or advisors. The awards granted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2016 Plan will be classified into three categories: (i) the awards granted to the officers, employees or directors who rendered the most outstanding work performance, (ii) the awards granted to the Company or its affiliates’ management level officers or employees other than the persons eligible for awards under (i), and (iii) the awards granted to the officers or employees of the Company or its affiliates who are below the management level.</w:t>
      </w:r>
    </w:p>
    <w:p>
      <w:pPr>
        <w:spacing w:after="0" w:line="185" w:lineRule="exact"/>
        <w:rPr>
          <w:sz w:val="20"/>
          <w:szCs w:val="20"/>
          <w:color w:val="auto"/>
        </w:rPr>
      </w:pPr>
    </w:p>
    <w:p>
      <w:pPr>
        <w:ind w:left="120" w:right="240" w:firstLine="551"/>
        <w:spacing w:after="0" w:line="242" w:lineRule="auto"/>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For options, subject to termination of employment arrangement, the 2016 Plan provides that on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 anniversaries immediately after the grant date, 25% of the total number of ordinary shares subject to the options granted shall be vested. Notwithstanding the foregoing, the plan administrator may, however, in its discretion, designate certain options granted to the officers, employees or directors who rendered the most outstanding work performance as accelerated options. By express provisions in the applicable award agreement, accelerated options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may be exercised prior to the date such options become vested. For restricted share awards, subject to termination of employment arrangement, the restrictions attached to the restricted shares granted will lapse with respect to 20% of the total number of restricted shares on each of the five anniversaries immediately after the grant date. Subject to early repurchase provisions, shares awarded shall either become vested or be repurchased by the Company not more than 10 years after the award date.</w:t>
      </w:r>
    </w:p>
    <w:p>
      <w:pPr>
        <w:spacing w:after="0" w:line="187" w:lineRule="exact"/>
        <w:rPr>
          <w:sz w:val="20"/>
          <w:szCs w:val="20"/>
          <w:color w:val="auto"/>
        </w:rPr>
      </w:pPr>
    </w:p>
    <w:p>
      <w:pPr>
        <w:ind w:left="120" w:right="220" w:firstLine="551"/>
        <w:spacing w:after="0" w:line="254" w:lineRule="auto"/>
        <w:rPr>
          <w:sz w:val="20"/>
          <w:szCs w:val="20"/>
          <w:color w:val="auto"/>
        </w:rPr>
      </w:pPr>
      <w:r>
        <w:rPr>
          <w:rFonts w:ascii="Arial" w:cs="Arial" w:eastAsia="Arial" w:hAnsi="Arial"/>
          <w:sz w:val="17"/>
          <w:szCs w:val="17"/>
          <w:i w:val="1"/>
          <w:iCs w:val="1"/>
          <w:color w:val="auto"/>
        </w:rPr>
        <w:t xml:space="preserve">Exercise of Options. </w:t>
      </w:r>
      <w:r>
        <w:rPr>
          <w:rFonts w:ascii="Arial" w:cs="Arial" w:eastAsia="Arial" w:hAnsi="Arial"/>
          <w:sz w:val="17"/>
          <w:szCs w:val="17"/>
          <w:color w:val="auto"/>
        </w:rPr>
        <w:t>The plan administrator determines the exercise price for each award, which is stated in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Each option shall expire not more than ten years after the award date. Unless otherwise expressly provided by the plan administrator, and subject to applicable laws and regulations, vested options shall become exercisable upon the earlier of (i) the date on which the Company’s shares are first registered under the Exchange Act and listed on a recognized national securities exchange, and</w:t>
      </w:r>
    </w:p>
    <w:p>
      <w:pPr>
        <w:ind w:left="120" w:right="120" w:hanging="4"/>
        <w:spacing w:after="0"/>
        <w:tabs>
          <w:tab w:leader="none" w:pos="37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occurrence of a change in control event set forth under the 2016 Plan. The shares acquired upon exercise of options shall be designated as restricted shares and shall be subject to all the terms, provisions and restriction as imposed upon in the 2016 Plan and the restricted shares award agreement to be further entered into between the Company and the participant.</w:t>
      </w:r>
    </w:p>
    <w:p>
      <w:pPr>
        <w:spacing w:after="0" w:line="185"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Awards shall be exercised by the eligible participants only and shall not be transferable in any manner by</w:t>
      </w:r>
      <w:r>
        <w:rPr>
          <w:rFonts w:ascii="Arial" w:cs="Arial" w:eastAsia="Arial" w:hAnsi="Arial"/>
          <w:sz w:val="18"/>
          <w:szCs w:val="18"/>
          <w:i w:val="1"/>
          <w:iCs w:val="1"/>
          <w:color w:val="auto"/>
        </w:rPr>
        <w:t xml:space="preserve"> </w:t>
      </w:r>
      <w:r>
        <w:rPr>
          <w:rFonts w:ascii="Arial" w:cs="Arial" w:eastAsia="Arial" w:hAnsi="Arial"/>
          <w:sz w:val="18"/>
          <w:szCs w:val="18"/>
          <w:color w:val="auto"/>
        </w:rPr>
        <w:t>the eligible participant other than in accordance with the limited exceptions provided in the 2016 Plan, such as (i) transfers to the Company, (ii) upon approval by the plan administrator, transfers to the immediate family members of the participant by gift, (iii) the designation of a beneficiary to receive benefits if the participant dies or, if the participant has died, transfers to or exercises by the participant’s beneficiary, or in absence of a validly designated beneficiary, transfers by will or the laws of descent and distribution, or</w:t>
      </w:r>
    </w:p>
    <w:p>
      <w:pPr>
        <w:spacing w:after="0" w:line="4" w:lineRule="exact"/>
        <w:rPr>
          <w:sz w:val="20"/>
          <w:szCs w:val="20"/>
          <w:color w:val="auto"/>
        </w:rPr>
      </w:pPr>
    </w:p>
    <w:p>
      <w:pPr>
        <w:ind w:left="120" w:right="260" w:hanging="4"/>
        <w:spacing w:after="0" w:line="246"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permitted transfers or exercises on behalf of the participant by the participant’s duly authorized legal representative if the participant has suffered a disability.</w:t>
      </w:r>
    </w:p>
    <w:p>
      <w:pPr>
        <w:spacing w:after="0" w:line="179" w:lineRule="exact"/>
        <w:rPr>
          <w:sz w:val="20"/>
          <w:szCs w:val="20"/>
          <w:color w:val="auto"/>
        </w:rPr>
      </w:pPr>
    </w:p>
    <w:p>
      <w:pPr>
        <w:ind w:left="120" w:firstLine="551"/>
        <w:spacing w:after="0" w:line="250" w:lineRule="auto"/>
        <w:rPr>
          <w:sz w:val="20"/>
          <w:szCs w:val="20"/>
          <w:color w:val="auto"/>
        </w:rPr>
      </w:pPr>
      <w:r>
        <w:rPr>
          <w:rFonts w:ascii="Arial" w:cs="Arial" w:eastAsia="Arial" w:hAnsi="Arial"/>
          <w:sz w:val="18"/>
          <w:szCs w:val="18"/>
          <w:i w:val="1"/>
          <w:iCs w:val="1"/>
          <w:color w:val="auto"/>
        </w:rPr>
        <w:t xml:space="preserve">Termination and Amendment of the 2016 Plan. </w:t>
      </w:r>
      <w:r>
        <w:rPr>
          <w:rFonts w:ascii="Arial" w:cs="Arial" w:eastAsia="Arial" w:hAnsi="Arial"/>
          <w:sz w:val="18"/>
          <w:szCs w:val="18"/>
          <w:color w:val="auto"/>
        </w:rPr>
        <w:t>Unless terminated earlier, the 2016 Plan has a term of ten years from its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Our board of directors has the authority to amend or terminate the 2016 Plan. However, no such action may adversely affect in any material way any awards previously granted without the written consent of the participant.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Plan</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2021, we adopted the 2021 share incentive plan, or the 2021 Plan, to promote the success and enhance the value of our company by linking the personal interests of the directors, employees, and consultants to those of our shareholders and by providing such individuals with an incentive for outstanding performance to generate superior returns to our shareholders. The maximum aggregate number of ordinary shares that may be issued under 2021 Plan is 6,021,619. As of the date of this prospectus, 2,964,091 restricted share units have been granted and outstanding under the 2021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paragraphs summarize the principal terms of the 2021 Plan.</w:t>
      </w:r>
    </w:p>
    <w:p>
      <w:pPr>
        <w:spacing w:after="0" w:line="194" w:lineRule="exact"/>
        <w:rPr>
          <w:sz w:val="20"/>
          <w:szCs w:val="20"/>
          <w:color w:val="auto"/>
        </w:rPr>
      </w:pPr>
    </w:p>
    <w:p>
      <w:pPr>
        <w:ind w:left="120" w:right="460" w:firstLine="551"/>
        <w:spacing w:after="0" w:line="267" w:lineRule="auto"/>
        <w:rPr>
          <w:sz w:val="20"/>
          <w:szCs w:val="20"/>
          <w:color w:val="auto"/>
        </w:rPr>
      </w:pPr>
      <w:r>
        <w:rPr>
          <w:rFonts w:ascii="Arial" w:cs="Arial" w:eastAsia="Arial" w:hAnsi="Arial"/>
          <w:sz w:val="18"/>
          <w:szCs w:val="18"/>
          <w:i w:val="1"/>
          <w:iCs w:val="1"/>
          <w:color w:val="auto"/>
        </w:rPr>
        <w:t>Type of Awards</w:t>
      </w:r>
      <w:r>
        <w:rPr>
          <w:rFonts w:ascii="Arial" w:cs="Arial" w:eastAsia="Arial" w:hAnsi="Arial"/>
          <w:sz w:val="18"/>
          <w:szCs w:val="18"/>
          <w:color w:val="auto"/>
        </w:rPr>
        <w:t>. The 2021 Plan permits the awards of options, restricted share units, restricted shares or other types of award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a committee that administers the plan.</w:t>
      </w:r>
    </w:p>
    <w:p>
      <w:pPr>
        <w:spacing w:after="0" w:line="160" w:lineRule="exact"/>
        <w:rPr>
          <w:sz w:val="20"/>
          <w:szCs w:val="20"/>
          <w:color w:val="auto"/>
        </w:rPr>
      </w:pPr>
    </w:p>
    <w:p>
      <w:pPr>
        <w:ind w:left="120" w:right="80" w:firstLine="551"/>
        <w:spacing w:after="0" w:line="250"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the board of directors will administer the 2021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will determine the participants to receive awards, the type and number of awards to be granted to each participant, and the terms and conditions of each grant.</w:t>
      </w:r>
    </w:p>
    <w:p>
      <w:pPr>
        <w:spacing w:after="0" w:line="177" w:lineRule="exact"/>
        <w:rPr>
          <w:sz w:val="20"/>
          <w:szCs w:val="20"/>
          <w:color w:val="auto"/>
        </w:rPr>
      </w:pPr>
    </w:p>
    <w:p>
      <w:pPr>
        <w:ind w:left="120" w:right="20" w:firstLine="551"/>
        <w:spacing w:after="0" w:line="272" w:lineRule="auto"/>
        <w:rPr>
          <w:sz w:val="20"/>
          <w:szCs w:val="20"/>
          <w:color w:val="auto"/>
        </w:rPr>
      </w:pPr>
      <w:r>
        <w:rPr>
          <w:rFonts w:ascii="Arial" w:cs="Arial" w:eastAsia="Arial" w:hAnsi="Arial"/>
          <w:sz w:val="17"/>
          <w:szCs w:val="17"/>
          <w:i w:val="1"/>
          <w:iCs w:val="1"/>
          <w:color w:val="auto"/>
        </w:rPr>
        <w:t xml:space="preserve">Award Agreement. </w:t>
      </w:r>
      <w:r>
        <w:rPr>
          <w:rFonts w:ascii="Arial" w:cs="Arial" w:eastAsia="Arial" w:hAnsi="Arial"/>
          <w:sz w:val="17"/>
          <w:szCs w:val="17"/>
          <w:color w:val="auto"/>
        </w:rPr>
        <w:t>Awards granted under the 2021 Plan are evidenced by an award agreement that sets forth the terms,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and 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our directors, employees and consultants.</w:t>
      </w:r>
    </w:p>
    <w:p>
      <w:pPr>
        <w:spacing w:after="0" w:line="212" w:lineRule="exact"/>
        <w:rPr>
          <w:sz w:val="20"/>
          <w:szCs w:val="20"/>
          <w:color w:val="auto"/>
        </w:rPr>
      </w:pPr>
    </w:p>
    <w:p>
      <w:pPr>
        <w:ind w:left="120" w:right="500" w:firstLine="551"/>
        <w:spacing w:after="0" w:line="267" w:lineRule="auto"/>
        <w:rPr>
          <w:sz w:val="20"/>
          <w:szCs w:val="20"/>
          <w:color w:val="auto"/>
        </w:rPr>
      </w:pPr>
      <w:r>
        <w:rPr>
          <w:rFonts w:ascii="Arial" w:cs="Arial" w:eastAsia="Arial" w:hAnsi="Arial"/>
          <w:sz w:val="18"/>
          <w:szCs w:val="18"/>
          <w:i w:val="1"/>
          <w:iCs w:val="1"/>
          <w:color w:val="auto"/>
        </w:rPr>
        <w:t>Vesting Schedule</w:t>
      </w:r>
      <w:r>
        <w:rPr>
          <w:rFonts w:ascii="Arial" w:cs="Arial" w:eastAsia="Arial" w:hAnsi="Arial"/>
          <w:sz w:val="18"/>
          <w:szCs w:val="18"/>
          <w:color w:val="auto"/>
        </w:rPr>
        <w:t>. In general, the plan administrator determines the vesting schedule, which is specified in the relevant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60" w:lineRule="exact"/>
        <w:rPr>
          <w:sz w:val="20"/>
          <w:szCs w:val="20"/>
          <w:color w:val="auto"/>
        </w:rPr>
      </w:pPr>
    </w:p>
    <w:p>
      <w:pPr>
        <w:ind w:left="120" w:right="380" w:firstLine="551"/>
        <w:spacing w:after="0" w:line="272" w:lineRule="auto"/>
        <w:rPr>
          <w:sz w:val="20"/>
          <w:szCs w:val="20"/>
          <w:color w:val="auto"/>
        </w:rPr>
      </w:pPr>
      <w:r>
        <w:rPr>
          <w:rFonts w:ascii="Arial" w:cs="Arial" w:eastAsia="Arial" w:hAnsi="Arial"/>
          <w:sz w:val="17"/>
          <w:szCs w:val="17"/>
          <w:i w:val="1"/>
          <w:iCs w:val="1"/>
          <w:color w:val="auto"/>
        </w:rPr>
        <w:t xml:space="preserve">Exercise of Options. </w:t>
      </w:r>
      <w:r>
        <w:rPr>
          <w:rFonts w:ascii="Arial" w:cs="Arial" w:eastAsia="Arial" w:hAnsi="Arial"/>
          <w:sz w:val="17"/>
          <w:szCs w:val="17"/>
          <w:color w:val="auto"/>
        </w:rPr>
        <w:t>The plan administrator determines the exercise price for each award, which is stated in the relevant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Options that are vested and exercisable will terminate if they are not exercised prior to the time as the plan administrator determines at the time of grant. However, the maximum exercisable term is ten years from the date of effectiveness of the 2021 Plan.</w:t>
      </w:r>
    </w:p>
    <w:p>
      <w:pPr>
        <w:spacing w:after="0" w:line="159" w:lineRule="exact"/>
        <w:rPr>
          <w:sz w:val="20"/>
          <w:szCs w:val="20"/>
          <w:color w:val="auto"/>
        </w:rPr>
      </w:pPr>
    </w:p>
    <w:p>
      <w:pPr>
        <w:jc w:val="both"/>
        <w:ind w:left="120" w:right="40" w:firstLine="551"/>
        <w:spacing w:after="0" w:line="250"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Awards may not be transferred in any manner by the participant other than in accordance with the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2021 Plan or the relevant award agreement or otherwise determined by the plan administrator, such as transfers by will or the laws of descent and distribution.</w:t>
      </w:r>
    </w:p>
    <w:p>
      <w:pPr>
        <w:spacing w:after="0" w:line="177"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i w:val="1"/>
          <w:iCs w:val="1"/>
          <w:color w:val="auto"/>
        </w:rPr>
        <w:t xml:space="preserve">Termination and Amendment of the 2021 Plan. </w:t>
      </w:r>
      <w:r>
        <w:rPr>
          <w:rFonts w:ascii="Arial" w:cs="Arial" w:eastAsia="Arial" w:hAnsi="Arial"/>
          <w:sz w:val="18"/>
          <w:szCs w:val="18"/>
          <w:color w:val="auto"/>
        </w:rPr>
        <w:t>Unless terminated earlier, the 2021 Plan has a term of ten years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plan. Our board of directors has the authority to terminate, amend, suspend or modify the plan in accordance with our articles of association. However, without the prior written consent of the participant, no such action may adversely affect in any material way any award previously granted pursuant to the 2021 Plan.</w:t>
      </w:r>
    </w:p>
    <w:p>
      <w:pPr>
        <w:spacing w:after="0" w:line="199"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following table summarizes, as of the date of this prospectus, the number of ordinary shares under outstanding options that we granted to our directors and executive officers.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Ordinary Shares</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58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Underlying</w:t>
            </w:r>
          </w:p>
        </w:tc>
        <w:tc>
          <w:tcPr>
            <w:tcW w:w="1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2460" w:type="dxa"/>
            <w:vAlign w:val="bottom"/>
            <w:vMerge w:val="restart"/>
          </w:tcPr>
          <w:p>
            <w:pPr>
              <w:spacing w:after="0"/>
              <w:rPr>
                <w:sz w:val="13"/>
                <w:szCs w:val="13"/>
                <w:color w:val="auto"/>
              </w:rPr>
            </w:pPr>
          </w:p>
        </w:tc>
        <w:tc>
          <w:tcPr>
            <w:tcW w:w="2580" w:type="dxa"/>
            <w:vAlign w:val="bottom"/>
            <w:gridSpan w:val="2"/>
          </w:tcPr>
          <w:p>
            <w:pPr>
              <w:jc w:val="center"/>
              <w:ind w:right="1160"/>
              <w:spacing w:after="0" w:line="159" w:lineRule="exact"/>
              <w:rPr>
                <w:sz w:val="20"/>
                <w:szCs w:val="20"/>
                <w:color w:val="auto"/>
              </w:rPr>
            </w:pPr>
            <w:r>
              <w:rPr>
                <w:rFonts w:ascii="Arial" w:cs="Arial" w:eastAsia="Arial" w:hAnsi="Arial"/>
                <w:sz w:val="14"/>
                <w:szCs w:val="14"/>
                <w:b w:val="1"/>
                <w:bCs w:val="1"/>
                <w:color w:val="auto"/>
              </w:rPr>
              <w:t>Options or restricted</w:t>
            </w:r>
          </w:p>
        </w:tc>
        <w:tc>
          <w:tcPr>
            <w:tcW w:w="2400" w:type="dxa"/>
            <w:vAlign w:val="bottom"/>
            <w:gridSpan w:val="2"/>
          </w:tcPr>
          <w:p>
            <w:pPr>
              <w:jc w:val="right"/>
              <w:ind w:right="1000"/>
              <w:spacing w:after="0" w:line="159" w:lineRule="exact"/>
              <w:rPr>
                <w:sz w:val="20"/>
                <w:szCs w:val="20"/>
                <w:color w:val="auto"/>
              </w:rPr>
            </w:pPr>
            <w:r>
              <w:rPr>
                <w:rFonts w:ascii="Arial" w:cs="Arial" w:eastAsia="Arial" w:hAnsi="Arial"/>
                <w:sz w:val="14"/>
                <w:szCs w:val="14"/>
                <w:b w:val="1"/>
                <w:bCs w:val="1"/>
                <w:color w:val="auto"/>
              </w:rPr>
              <w:t>Exercise Price (US$/</w:t>
            </w: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0" w:type="dxa"/>
            <w:vAlign w:val="bottom"/>
            <w:tcBorders>
              <w:bottom w:val="single" w:sz="8" w:color="auto"/>
            </w:tcBorders>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2580" w:type="dxa"/>
            <w:vAlign w:val="bottom"/>
            <w:gridSpan w:val="2"/>
          </w:tcPr>
          <w:p>
            <w:pPr>
              <w:jc w:val="center"/>
              <w:ind w:right="1140"/>
              <w:spacing w:after="0" w:line="165" w:lineRule="exact"/>
              <w:rPr>
                <w:sz w:val="20"/>
                <w:szCs w:val="20"/>
                <w:color w:val="auto"/>
              </w:rPr>
            </w:pPr>
            <w:r>
              <w:rPr>
                <w:rFonts w:ascii="Arial" w:cs="Arial" w:eastAsia="Arial" w:hAnsi="Arial"/>
                <w:sz w:val="12"/>
                <w:szCs w:val="12"/>
                <w:b w:val="1"/>
                <w:bCs w:val="1"/>
                <w:color w:val="auto"/>
              </w:rPr>
              <w:t>share units</w:t>
            </w:r>
            <w:r>
              <w:rPr>
                <w:rFonts w:ascii="Arial" w:cs="Arial" w:eastAsia="Arial" w:hAnsi="Arial"/>
                <w:sz w:val="19"/>
                <w:szCs w:val="19"/>
                <w:b w:val="1"/>
                <w:bCs w:val="1"/>
                <w:color w:val="auto"/>
                <w:vertAlign w:val="superscript"/>
              </w:rPr>
              <w:t>(1)</w:t>
            </w:r>
          </w:p>
        </w:tc>
        <w:tc>
          <w:tcPr>
            <w:tcW w:w="240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Share)</w:t>
            </w: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Date of Grant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20"/>
        </w:trPr>
        <w:tc>
          <w:tcPr>
            <w:tcW w:w="2860" w:type="dxa"/>
            <w:vAlign w:val="bottom"/>
            <w:gridSpan w:val="2"/>
            <w:vMerge w:val="restart"/>
            <w:shd w:val="clear" w:color="auto" w:fill="CCEEFF"/>
          </w:tcPr>
          <w:p>
            <w:pPr>
              <w:spacing w:after="0"/>
              <w:rPr>
                <w:sz w:val="20"/>
                <w:szCs w:val="20"/>
                <w:color w:val="auto"/>
              </w:rPr>
            </w:pPr>
            <w:r>
              <w:rPr>
                <w:rFonts w:ascii="Arial" w:cs="Arial" w:eastAsia="Arial" w:hAnsi="Arial"/>
                <w:sz w:val="16"/>
                <w:szCs w:val="16"/>
                <w:color w:val="auto"/>
              </w:rPr>
              <w:t>Kerry Xuefeng Chen</w:t>
            </w:r>
          </w:p>
        </w:tc>
        <w:tc>
          <w:tcPr>
            <w:tcW w:w="142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60" w:type="dxa"/>
            <w:vAlign w:val="bottom"/>
            <w:gridSpan w:val="2"/>
            <w:vMerge w:val="continue"/>
            <w:shd w:val="clear" w:color="auto" w:fill="CCEEFF"/>
          </w:tcPr>
          <w:p>
            <w:pPr>
              <w:spacing w:after="0"/>
              <w:rPr>
                <w:sz w:val="15"/>
                <w:szCs w:val="15"/>
                <w:color w:val="auto"/>
              </w:rPr>
            </w:pPr>
          </w:p>
        </w:tc>
        <w:tc>
          <w:tcPr>
            <w:tcW w:w="2580" w:type="dxa"/>
            <w:vAlign w:val="bottom"/>
            <w:gridSpan w:val="2"/>
            <w:shd w:val="clear" w:color="auto" w:fill="CCEEFF"/>
          </w:tcPr>
          <w:p>
            <w:pPr>
              <w:jc w:val="right"/>
              <w:ind w:right="1160"/>
              <w:spacing w:after="0" w:line="176" w:lineRule="exact"/>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line="176" w:lineRule="exact"/>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line="176" w:lineRule="exact"/>
              <w:rPr>
                <w:sz w:val="20"/>
                <w:szCs w:val="20"/>
                <w:color w:val="auto"/>
              </w:rPr>
            </w:pPr>
            <w:r>
              <w:rPr>
                <w:rFonts w:ascii="Arial" w:cs="Arial" w:eastAsia="Arial" w:hAnsi="Arial"/>
                <w:sz w:val="16"/>
                <w:szCs w:val="16"/>
                <w:color w:val="auto"/>
              </w:rPr>
              <w:t>7/31/2015</w:t>
            </w:r>
          </w:p>
        </w:tc>
        <w:tc>
          <w:tcPr>
            <w:tcW w:w="126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1/1/2017</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7/1/2018</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1/1/2019</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1/1/2019</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9/1/2016</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10/4/2016</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7/31/2019</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1,725,746</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980"/>
              <w:spacing w:after="0" w:line="189" w:lineRule="exact"/>
              <w:rPr>
                <w:sz w:val="20"/>
                <w:szCs w:val="20"/>
                <w:color w:val="auto"/>
              </w:rPr>
            </w:pPr>
            <w:r>
              <w:rPr>
                <w:rFonts w:ascii="Arial" w:cs="Arial" w:eastAsia="Arial" w:hAnsi="Arial"/>
                <w:sz w:val="13"/>
                <w:szCs w:val="13"/>
                <w:color w:val="auto"/>
              </w:rPr>
              <w:t>2,964,091</w:t>
            </w:r>
            <w:r>
              <w:rPr>
                <w:rFonts w:ascii="Arial" w:cs="Arial" w:eastAsia="Arial" w:hAnsi="Arial"/>
                <w:sz w:val="21"/>
                <w:szCs w:val="21"/>
                <w:color w:val="auto"/>
                <w:vertAlign w:val="superscript"/>
              </w:rPr>
              <w:t>(1)</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tcPr>
          <w:p>
            <w:pPr>
              <w:spacing w:after="0"/>
              <w:rPr>
                <w:sz w:val="20"/>
                <w:szCs w:val="20"/>
                <w:color w:val="auto"/>
              </w:rPr>
            </w:pPr>
            <w:r>
              <w:rPr>
                <w:rFonts w:ascii="Arial" w:cs="Arial" w:eastAsia="Arial" w:hAnsi="Arial"/>
                <w:sz w:val="16"/>
                <w:szCs w:val="16"/>
                <w:color w:val="auto"/>
              </w:rPr>
              <w:t>Yongliang Wang</w:t>
            </w: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6/3/2019</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6/3/2019</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6/3/2019</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3/1/2020</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6/3/2019</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7/1/2020</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Chen Chen</w:t>
            </w: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shd w:val="clear" w:color="auto" w:fill="CCEEFF"/>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580" w:type="dxa"/>
            <w:vAlign w:val="bottom"/>
            <w:gridSpan w:val="2"/>
          </w:tcPr>
          <w:p>
            <w:pPr>
              <w:jc w:val="right"/>
              <w:ind w:right="1160"/>
              <w:spacing w:after="0"/>
              <w:rPr>
                <w:sz w:val="20"/>
                <w:szCs w:val="20"/>
                <w:color w:val="auto"/>
              </w:rPr>
            </w:pPr>
            <w:r>
              <w:rPr>
                <w:rFonts w:ascii="Arial" w:cs="Arial" w:eastAsia="Arial" w:hAnsi="Arial"/>
                <w:sz w:val="16"/>
                <w:szCs w:val="16"/>
                <w:color w:val="auto"/>
              </w:rPr>
              <w:t>*</w:t>
            </w:r>
          </w:p>
        </w:tc>
        <w:tc>
          <w:tcPr>
            <w:tcW w:w="2400" w:type="dxa"/>
            <w:vAlign w:val="bottom"/>
            <w:gridSpan w:val="2"/>
          </w:tcPr>
          <w:p>
            <w:pPr>
              <w:jc w:val="right"/>
              <w:ind w:right="1000"/>
              <w:spacing w:after="0"/>
              <w:rPr>
                <w:sz w:val="20"/>
                <w:szCs w:val="20"/>
                <w:color w:val="auto"/>
              </w:rPr>
            </w:pPr>
            <w:r>
              <w:rPr>
                <w:rFonts w:ascii="Arial" w:cs="Arial" w:eastAsia="Arial" w:hAnsi="Arial"/>
                <w:sz w:val="16"/>
                <w:szCs w:val="16"/>
                <w:color w:val="auto"/>
              </w:rPr>
              <w:t>0.1</w:t>
            </w:r>
          </w:p>
        </w:tc>
        <w:tc>
          <w:tcPr>
            <w:tcW w:w="1920" w:type="dxa"/>
            <w:vAlign w:val="bottom"/>
            <w:gridSpan w:val="2"/>
          </w:tcPr>
          <w:p>
            <w:pPr>
              <w:jc w:val="right"/>
              <w:ind w:right="1000"/>
              <w:spacing w:after="0"/>
              <w:rPr>
                <w:sz w:val="20"/>
                <w:szCs w:val="20"/>
                <w:color w:val="auto"/>
              </w:rPr>
            </w:pPr>
            <w:r>
              <w:rPr>
                <w:rFonts w:ascii="Arial" w:cs="Arial" w:eastAsia="Arial" w:hAnsi="Arial"/>
                <w:sz w:val="16"/>
                <w:szCs w:val="16"/>
                <w:color w:val="auto"/>
              </w:rPr>
              <w:t>4/13/2021</w:t>
            </w:r>
          </w:p>
        </w:tc>
        <w:tc>
          <w:tcPr>
            <w:tcW w:w="126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0"/>
        </w:trPr>
        <w:tc>
          <w:tcPr>
            <w:tcW w:w="4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86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All directors and</w:t>
            </w:r>
          </w:p>
        </w:tc>
        <w:tc>
          <w:tcPr>
            <w:tcW w:w="14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executive officers as a</w:t>
            </w:r>
          </w:p>
        </w:tc>
        <w:tc>
          <w:tcPr>
            <w:tcW w:w="1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group</w:t>
            </w:r>
          </w:p>
        </w:tc>
        <w:tc>
          <w:tcPr>
            <w:tcW w:w="2580" w:type="dxa"/>
            <w:vAlign w:val="bottom"/>
            <w:gridSpan w:val="2"/>
            <w:shd w:val="clear" w:color="auto" w:fill="CCEEFF"/>
          </w:tcPr>
          <w:p>
            <w:pPr>
              <w:jc w:val="right"/>
              <w:ind w:right="1160"/>
              <w:spacing w:after="0"/>
              <w:rPr>
                <w:sz w:val="20"/>
                <w:szCs w:val="20"/>
                <w:color w:val="auto"/>
              </w:rPr>
            </w:pPr>
            <w:r>
              <w:rPr>
                <w:rFonts w:ascii="Arial" w:cs="Arial" w:eastAsia="Arial" w:hAnsi="Arial"/>
                <w:sz w:val="16"/>
                <w:szCs w:val="16"/>
                <w:color w:val="auto"/>
              </w:rPr>
              <w:t>8,533,366</w:t>
            </w:r>
          </w:p>
        </w:tc>
        <w:tc>
          <w:tcPr>
            <w:tcW w:w="1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Less than 1% of our total ordinary shares on an as-converted basis outstanding as of the date of this prospectus.</w:t>
      </w:r>
    </w:p>
    <w:p>
      <w:pPr>
        <w:spacing w:after="0" w:line="1"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†The expiration date is ten years from the date of grant.</w:t>
      </w:r>
    </w:p>
    <w:p>
      <w:pPr>
        <w:spacing w:after="0" w:line="1"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 April 2021, we granted 2,964,091 restricted share units to Mr. Kerry Xuefeng Chen, vesting immediately.</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As of the date of this prospectus, our employees other than directors and executive officers as a group held options to purchase 14,158,866 ordinary shares, with exercise prices ranging from US$0.03 per share to US$2.8 per share.</w:t>
      </w:r>
    </w:p>
    <w:p>
      <w:pPr>
        <w:spacing w:after="0" w:line="12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0820"/>
          </w:cols>
          <w:pgMar w:left="320" w:top="459" w:right="7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p>
      <w:pPr>
        <w:ind w:left="120" w:right="600" w:firstLine="551"/>
        <w:spacing w:after="0" w:line="246"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on an as-converted basis as of the date of this prospectus by:</w:t>
      </w:r>
    </w:p>
    <w:p>
      <w:pPr>
        <w:spacing w:after="0" w:line="102" w:lineRule="exact"/>
        <w:rPr>
          <w:sz w:val="20"/>
          <w:szCs w:val="20"/>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of our principal shareholders who beneficially own more than 5% of our total issued and outstanding shares.</w:t>
      </w:r>
    </w:p>
    <w:p>
      <w:pPr>
        <w:spacing w:after="0" w:line="212" w:lineRule="exact"/>
        <w:rPr>
          <w:sz w:val="20"/>
          <w:szCs w:val="20"/>
          <w:color w:val="auto"/>
        </w:rPr>
      </w:pPr>
    </w:p>
    <w:p>
      <w:pPr>
        <w:ind w:left="120" w:right="80" w:firstLine="551"/>
        <w:spacing w:after="0" w:line="234" w:lineRule="auto"/>
        <w:rPr>
          <w:sz w:val="20"/>
          <w:szCs w:val="20"/>
          <w:color w:val="auto"/>
        </w:rPr>
      </w:pPr>
      <w:r>
        <w:rPr>
          <w:rFonts w:ascii="Arial" w:cs="Arial" w:eastAsia="Arial" w:hAnsi="Arial"/>
          <w:sz w:val="18"/>
          <w:szCs w:val="18"/>
          <w:color w:val="auto"/>
        </w:rPr>
        <w:t>The calculations in the table below are based on 136,116,992 ordinary shares on an as-converted basis issued and outstanding as of the date of this prospectus (without taking into account the 153,570 ordinary shares that China Equities HK Limited has the right to</w:t>
      </w:r>
    </w:p>
    <w:p>
      <w:pPr>
        <w:spacing w:after="0" w:line="1" w:lineRule="exact"/>
        <w:rPr>
          <w:sz w:val="20"/>
          <w:szCs w:val="20"/>
          <w:color w:val="auto"/>
        </w:rPr>
      </w:pPr>
    </w:p>
    <w:p>
      <w:pPr>
        <w:ind w:left="720" w:right="20" w:hanging="599"/>
        <w:spacing w:after="0" w:line="234" w:lineRule="auto"/>
        <w:rPr>
          <w:sz w:val="20"/>
          <w:szCs w:val="20"/>
          <w:color w:val="auto"/>
        </w:rPr>
      </w:pPr>
      <w:r>
        <w:rPr>
          <w:rFonts w:ascii="Arial" w:cs="Arial" w:eastAsia="Arial" w:hAnsi="Arial"/>
          <w:sz w:val="18"/>
          <w:szCs w:val="18"/>
          <w:color w:val="auto"/>
        </w:rPr>
        <w:t>acquire pursuant to a warrant we issued on May 10, 2021), and</w:t>
      </w:r>
      <w:r>
        <w:rPr>
          <w:sz w:val="20"/>
          <w:szCs w:val="20"/>
          <w:color w:val="auto"/>
        </w:rPr>
        <w:t xml:space="preserve"> </w:t>
      </w:r>
      <w:r>
        <w:rPr>
          <w:rFonts w:ascii="Arial" w:cs="Arial" w:eastAsia="Arial" w:hAnsi="Arial"/>
          <w:sz w:val="18"/>
          <w:szCs w:val="18"/>
          <w:color w:val="auto"/>
        </w:rPr>
        <w:t>Class A ordinary shares, Class B ordinary shares and Class C ordinary shares issued and outstanding immediately after the completion of this offering, assuming the underwriters do not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exercise their over-allotment option.</w:t>
      </w:r>
    </w:p>
    <w:p>
      <w:pPr>
        <w:spacing w:after="0" w:line="212"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22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rPr>
              <w:t>Ordinary shares</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22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Beneficially Owned</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1380" w:type="dxa"/>
            <w:vAlign w:val="bottom"/>
            <w:gridSpan w:val="2"/>
          </w:tcPr>
          <w:p>
            <w:pPr>
              <w:jc w:val="center"/>
              <w:ind w:left="336"/>
              <w:spacing w:after="0"/>
              <w:rPr>
                <w:sz w:val="20"/>
                <w:szCs w:val="20"/>
                <w:color w:val="auto"/>
              </w:rPr>
            </w:pPr>
            <w:r>
              <w:rPr>
                <w:rFonts w:ascii="Arial" w:cs="Arial" w:eastAsia="Arial" w:hAnsi="Arial"/>
                <w:sz w:val="14"/>
                <w:szCs w:val="14"/>
                <w:b w:val="1"/>
                <w:bCs w:val="1"/>
                <w:color w:val="auto"/>
              </w:rPr>
              <w:t>Prior to This</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4"/>
          </w:tcPr>
          <w:p>
            <w:pPr>
              <w:ind w:left="20"/>
              <w:spacing w:after="0"/>
              <w:rPr>
                <w:sz w:val="20"/>
                <w:szCs w:val="20"/>
                <w:color w:val="auto"/>
              </w:rPr>
            </w:pPr>
            <w:r>
              <w:rPr>
                <w:rFonts w:ascii="Arial" w:cs="Arial" w:eastAsia="Arial" w:hAnsi="Arial"/>
                <w:sz w:val="14"/>
                <w:szCs w:val="14"/>
                <w:b w:val="1"/>
                <w:bCs w:val="1"/>
                <w:color w:val="auto"/>
              </w:rPr>
              <w:t>Beneficially Owned</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3400" w:type="dxa"/>
            <w:vAlign w:val="bottom"/>
          </w:tcPr>
          <w:p>
            <w:pPr>
              <w:spacing w:after="0"/>
              <w:rPr>
                <w:sz w:val="15"/>
                <w:szCs w:val="15"/>
                <w:color w:val="auto"/>
              </w:rPr>
            </w:pPr>
          </w:p>
        </w:tc>
        <w:tc>
          <w:tcPr>
            <w:tcW w:w="1380" w:type="dxa"/>
            <w:vAlign w:val="bottom"/>
            <w:tcBorders>
              <w:bottom w:val="single" w:sz="8" w:color="auto"/>
            </w:tcBorders>
            <w:gridSpan w:val="2"/>
          </w:tcPr>
          <w:p>
            <w:pPr>
              <w:jc w:val="center"/>
              <w:ind w:left="336"/>
              <w:spacing w:after="0"/>
              <w:rPr>
                <w:sz w:val="20"/>
                <w:szCs w:val="20"/>
                <w:color w:val="auto"/>
              </w:rPr>
            </w:pPr>
            <w:r>
              <w:rPr>
                <w:rFonts w:ascii="Arial" w:cs="Arial" w:eastAsia="Arial" w:hAnsi="Arial"/>
                <w:sz w:val="14"/>
                <w:szCs w:val="14"/>
                <w:b w:val="1"/>
                <w:bCs w:val="1"/>
                <w:color w:val="auto"/>
              </w:rPr>
              <w:t>Offering</w:t>
            </w:r>
          </w:p>
        </w:tc>
        <w:tc>
          <w:tcPr>
            <w:tcW w:w="4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Immediately After This Offering</w:t>
            </w: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ordinary</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 on</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 of</w:t>
            </w:r>
          </w:p>
        </w:tc>
      </w:tr>
      <w:tr>
        <w:trPr>
          <w:trHeight w:val="162"/>
        </w:trPr>
        <w:tc>
          <w:tcPr>
            <w:tcW w:w="3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Class A</w:t>
            </w: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C</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an as</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4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Ordinary</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ordinary</w:t>
            </w:r>
          </w:p>
        </w:tc>
        <w:tc>
          <w:tcPr>
            <w:tcW w:w="580" w:type="dxa"/>
            <w:vAlign w:val="bottom"/>
          </w:tcPr>
          <w:p>
            <w:pPr>
              <w:spacing w:after="0"/>
              <w:rPr>
                <w:sz w:val="20"/>
                <w:szCs w:val="20"/>
                <w:color w:val="auto"/>
              </w:rPr>
            </w:pPr>
            <w:r>
              <w:rPr>
                <w:rFonts w:ascii="Arial" w:cs="Arial" w:eastAsia="Arial" w:hAnsi="Arial"/>
                <w:sz w:val="14"/>
                <w:szCs w:val="14"/>
                <w:b w:val="1"/>
                <w:bCs w:val="1"/>
                <w:color w:val="auto"/>
                <w:w w:val="99"/>
              </w:rPr>
              <w:t>ordinary</w:t>
            </w:r>
          </w:p>
        </w:tc>
        <w:tc>
          <w:tcPr>
            <w:tcW w:w="4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ordinary</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converted</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voting</w:t>
            </w:r>
          </w:p>
        </w:tc>
      </w:tr>
      <w:tr>
        <w:trPr>
          <w:trHeight w:val="175"/>
        </w:trPr>
        <w:tc>
          <w:tcPr>
            <w:tcW w:w="340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basis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96"/>
              </w:rPr>
              <w:t>%</w:t>
            </w:r>
          </w:p>
        </w:tc>
        <w:tc>
          <w:tcPr>
            <w:tcW w:w="420" w:type="dxa"/>
            <w:vAlign w:val="bottom"/>
          </w:tcPr>
          <w:p>
            <w:pPr>
              <w:spacing w:after="0"/>
              <w:rPr>
                <w:sz w:val="15"/>
                <w:szCs w:val="15"/>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power</w:t>
            </w:r>
            <w:r>
              <w:rPr>
                <w:rFonts w:ascii="Arial" w:cs="Arial" w:eastAsia="Arial" w:hAnsi="Arial"/>
                <w:sz w:val="8"/>
                <w:szCs w:val="8"/>
                <w:b w:val="1"/>
                <w:bCs w:val="1"/>
                <w:color w:val="auto"/>
              </w:rPr>
              <w:t>†</w:t>
            </w:r>
          </w:p>
        </w:tc>
      </w:tr>
      <w:tr>
        <w:trPr>
          <w:trHeight w:val="183"/>
        </w:trPr>
        <w:tc>
          <w:tcPr>
            <w:tcW w:w="3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Directors and Officers**:</w:t>
            </w:r>
          </w:p>
        </w:tc>
        <w:tc>
          <w:tcPr>
            <w:tcW w:w="9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Kerry Xuefeng Chen</w:t>
            </w:r>
            <w:r>
              <w:rPr>
                <w:rFonts w:ascii="Arial" w:cs="Arial" w:eastAsia="Arial" w:hAnsi="Arial"/>
                <w:sz w:val="15"/>
                <w:szCs w:val="15"/>
                <w:color w:val="auto"/>
              </w:rPr>
              <w:t>(1)</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15,242,387</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10.9</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Yongliang Wang</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Lei Xu</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Wei Tang</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Chen Chen</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Jingbo Wang</w:t>
            </w:r>
            <w:r>
              <w:rPr>
                <w:rFonts w:ascii="Arial" w:cs="Arial" w:eastAsia="Arial" w:hAnsi="Arial"/>
                <w:sz w:val="11"/>
                <w:szCs w:val="11"/>
                <w:color w:val="auto"/>
              </w:rPr>
              <w:t>††</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Guoxing Jiang</w:t>
            </w:r>
            <w:r>
              <w:rPr>
                <w:rFonts w:ascii="Arial" w:cs="Arial" w:eastAsia="Arial" w:hAnsi="Arial"/>
                <w:sz w:val="11"/>
                <w:szCs w:val="11"/>
                <w:color w:val="auto"/>
              </w:rPr>
              <w:t>††</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0"/>
        </w:trPr>
        <w:tc>
          <w:tcPr>
            <w:tcW w:w="340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All directors and officers as a</w:t>
            </w:r>
          </w:p>
        </w:tc>
        <w:tc>
          <w:tcPr>
            <w:tcW w:w="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25"/>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group</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15,933,793</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11.3</w:t>
            </w: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310"/>
        </w:trPr>
        <w:tc>
          <w:tcPr>
            <w:tcW w:w="340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C&amp;XF Group Limited</w:t>
            </w:r>
            <w:r>
              <w:rPr>
                <w:rFonts w:ascii="Arial" w:cs="Arial" w:eastAsia="Arial" w:hAnsi="Arial"/>
                <w:sz w:val="15"/>
                <w:szCs w:val="15"/>
                <w:color w:val="auto"/>
              </w:rPr>
              <w:t>(2)</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11,287,336</w:t>
            </w:r>
          </w:p>
        </w:tc>
        <w:tc>
          <w:tcPr>
            <w:tcW w:w="8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8.3</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JD.com Development Limited</w:t>
            </w:r>
            <w:r>
              <w:rPr>
                <w:rFonts w:ascii="Arial" w:cs="Arial" w:eastAsia="Arial" w:hAnsi="Arial"/>
                <w:sz w:val="15"/>
                <w:szCs w:val="15"/>
                <w:color w:val="auto"/>
              </w:rPr>
              <w:t>(3)</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47,240,103</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34.7</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5Y Capital entities</w:t>
            </w:r>
            <w:r>
              <w:rPr>
                <w:rFonts w:ascii="Arial" w:cs="Arial" w:eastAsia="Arial" w:hAnsi="Arial"/>
                <w:sz w:val="15"/>
                <w:szCs w:val="15"/>
                <w:color w:val="auto"/>
              </w:rPr>
              <w:t>(4)</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19,055,373</w:t>
            </w:r>
          </w:p>
        </w:tc>
        <w:tc>
          <w:tcPr>
            <w:tcW w:w="8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14.0</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Internet Fund IV Pte. Ltd.</w:t>
            </w:r>
            <w:r>
              <w:rPr>
                <w:rFonts w:ascii="Arial" w:cs="Arial" w:eastAsia="Arial" w:hAnsi="Arial"/>
                <w:sz w:val="15"/>
                <w:szCs w:val="15"/>
                <w:color w:val="auto"/>
              </w:rPr>
              <w:t>(5)</w:t>
            </w:r>
          </w:p>
        </w:tc>
        <w:tc>
          <w:tcPr>
            <w:tcW w:w="13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9,895,800</w:t>
            </w:r>
          </w:p>
        </w:tc>
        <w:tc>
          <w:tcPr>
            <w:tcW w:w="84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7.3</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Tiantu entities</w:t>
            </w:r>
            <w:r>
              <w:rPr>
                <w:rFonts w:ascii="Arial" w:cs="Arial" w:eastAsia="Arial" w:hAnsi="Arial"/>
                <w:sz w:val="15"/>
                <w:szCs w:val="15"/>
                <w:color w:val="auto"/>
              </w:rPr>
              <w:t>(6)</w:t>
            </w:r>
          </w:p>
        </w:tc>
        <w:tc>
          <w:tcPr>
            <w:tcW w:w="13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11,543,175</w:t>
            </w:r>
          </w:p>
        </w:tc>
        <w:tc>
          <w:tcPr>
            <w:tcW w:w="84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auto"/>
        </w:rPr>
        <w:t>Notes:</w:t>
      </w:r>
    </w:p>
    <w:p>
      <w:pPr>
        <w:spacing w:after="0" w:line="9" w:lineRule="exact"/>
        <w:rPr>
          <w:sz w:val="20"/>
          <w:szCs w:val="20"/>
          <w:color w:val="auto"/>
        </w:rPr>
      </w:pPr>
    </w:p>
    <w:p>
      <w:pPr>
        <w:ind w:left="660" w:hanging="544"/>
        <w:spacing w:after="0"/>
        <w:tabs>
          <w:tab w:leader="none" w:pos="6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Less than 1% of our total ordinary shares on an as-converted basis outstanding as of the date of this prospectus.</w:t>
      </w:r>
    </w:p>
    <w:p>
      <w:pPr>
        <w:ind w:left="660" w:right="140" w:hanging="544"/>
        <w:spacing w:after="0" w:line="187" w:lineRule="auto"/>
        <w:tabs>
          <w:tab w:leader="none" w:pos="66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Except as indicated otherwise, the business address of our directors and executive officers is 12</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No. 6 Building, 433 Songhu Road, Shanghai, the People’s Republic of China. The business address of Mr. Lei Xu and Mr. Wei Tang is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60" w:right="40"/>
        <w:spacing w:after="0" w:line="258" w:lineRule="auto"/>
        <w:rPr>
          <w:sz w:val="20"/>
          <w:szCs w:val="20"/>
          <w:color w:val="auto"/>
        </w:rPr>
      </w:pPr>
      <w:r>
        <w:rPr>
          <w:rFonts w:ascii="Arial" w:cs="Arial" w:eastAsia="Arial" w:hAnsi="Arial"/>
          <w:sz w:val="14"/>
          <w:szCs w:val="14"/>
          <w:color w:val="auto"/>
        </w:rPr>
        <w:t>8/F, Building B, No. 18 Kechuang 11 Street, Yizhuang, Beijing, the People’s Republic of China. The business address of Mr. Jingbo Wang is 56A, Tower 2, Hampton Place, Tai Kok Tsui, Kowloon, Hong Kong.</w:t>
      </w:r>
    </w:p>
    <w:p>
      <w:pPr>
        <w:spacing w:after="0" w:line="99" w:lineRule="exact"/>
        <w:rPr>
          <w:sz w:val="20"/>
          <w:szCs w:val="20"/>
          <w:color w:val="auto"/>
        </w:rPr>
      </w:pPr>
    </w:p>
    <w:p>
      <w:pPr>
        <w:ind w:left="660" w:right="20" w:hanging="544"/>
        <w:spacing w:after="0" w:line="245" w:lineRule="auto"/>
        <w:tabs>
          <w:tab w:leader="none" w:pos="6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For each person and group included in this column, percentage of voting power is calculated by dividing the voting power beneficially owned by such person or group by the voting power of all of our Class A, Class B and Class C ordinary shares as a single class. Each holder of Class A ordinary shares is entitled to one vote per share, each holder of Class B ordinary shares is entitled to three votes per share and each holder of Class C ordinary shares is entitled to fifteen votes per share on all matters submitted to them for a vote. Our Class A ordinary shares, Class B ordinary shares and Class C ordinary shares vote together as a single class on all matters submitted to a vote of our shareholders, except as may otherwise be required by law.</w:t>
      </w:r>
    </w:p>
    <w:p>
      <w:pPr>
        <w:spacing w:after="0" w:line="110" w:lineRule="exact"/>
        <w:rPr>
          <w:sz w:val="20"/>
          <w:szCs w:val="20"/>
          <w:color w:val="auto"/>
        </w:rPr>
      </w:pPr>
    </w:p>
    <w:p>
      <w:pPr>
        <w:ind w:left="660" w:right="600" w:hanging="544"/>
        <w:spacing w:after="0" w:line="258" w:lineRule="auto"/>
        <w:tabs>
          <w:tab w:leader="none" w:pos="6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Each of Mr. Jingbo Wang and Mr. Guoxing Jiang has accepted our appointment to be a director of the company, effective upon the SEC’s declaration of the effectiveness of our registration statement on Form F-1, of which this prospectus is a part.</w:t>
      </w:r>
    </w:p>
    <w:p>
      <w:pPr>
        <w:spacing w:after="0" w:line="99" w:lineRule="exact"/>
        <w:rPr>
          <w:sz w:val="20"/>
          <w:szCs w:val="20"/>
          <w:color w:val="auto"/>
        </w:rPr>
      </w:pPr>
    </w:p>
    <w:p>
      <w:pPr>
        <w:ind w:left="660" w:right="140" w:hanging="544"/>
        <w:spacing w:after="0" w:line="244" w:lineRule="auto"/>
        <w:tabs>
          <w:tab w:leader="none" w:pos="6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(i) 11,287,336 ordinary shares held by C&amp;XF Group Limited, a limited liability company incorporated under the laws of the British Virgin Islands and (ii) 3,955,051 ordinary shares Mr. Kerry Xuefeng Chen has the right to acquire within 60 days after the date of this prospectus. Mr. Kerry Xuefeng Chen is the sole shareholder and the sole director of C&amp;XF Group Limited. The registered address of C&amp;XF Group Limited is situated at offices of Sertus Incorporations (BVI) Lim-ited, Sertus Chambers, P.O. Box 905, Quastisky Building Road Town, Tortola, British Virgin Islands. All of the ordinary shares held by C&amp;XF Group Limited will be redesignated as Class C ordinary shares immediately prior to the completion of this offering, and the ordinary shares issuable upon the exercise of the options held by Mr. Kerry Xuefeng Chen will be Class A ordinary shares.</w:t>
      </w:r>
    </w:p>
    <w:p>
      <w:pPr>
        <w:spacing w:after="0" w:line="111" w:lineRule="exact"/>
        <w:rPr>
          <w:rFonts w:ascii="Arial" w:cs="Arial" w:eastAsia="Arial" w:hAnsi="Arial"/>
          <w:sz w:val="14"/>
          <w:szCs w:val="14"/>
          <w:color w:val="auto"/>
        </w:rPr>
      </w:pPr>
    </w:p>
    <w:p>
      <w:pPr>
        <w:jc w:val="both"/>
        <w:ind w:left="660" w:right="140" w:hanging="544"/>
        <w:spacing w:after="0" w:line="249" w:lineRule="auto"/>
        <w:tabs>
          <w:tab w:leader="none" w:pos="6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11,287,336 ordinary shares held by C&amp;XF Group Limited, a limited liability company incorporated under the laws of the British Virgin Islands. Mr. Kerry Xuefeng Chen is the sole shareholder and the sole director of C&amp;XF Group Limited. The registered address of C&amp;XF Group Limited is situated at offices of Sertus Incorporations (BVI) Limited, Sertus Chambers, P.O. Box 905, Quastisky Building Road Town, Tortola, British Virgin Islands.</w:t>
      </w:r>
    </w:p>
    <w:p>
      <w:pPr>
        <w:spacing w:after="0" w:line="106" w:lineRule="exact"/>
        <w:rPr>
          <w:rFonts w:ascii="Arial" w:cs="Arial" w:eastAsia="Arial" w:hAnsi="Arial"/>
          <w:sz w:val="14"/>
          <w:szCs w:val="14"/>
          <w:color w:val="auto"/>
        </w:rPr>
      </w:pPr>
    </w:p>
    <w:p>
      <w:pPr>
        <w:ind w:left="660" w:hanging="544"/>
        <w:spacing w:after="0" w:line="244" w:lineRule="auto"/>
        <w:tabs>
          <w:tab w:leader="none" w:pos="6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(i) 160,411 ordinary shares; (ii) 7,450,811 Series C-2 preferred shares; (iii) 6,490,541 Series C-3 preferred shares; (iv) 2,115,755 Series D-1 preferred shares, (v) 30,302,146 Series E preferred shares, and (vi) 720,439 Series F preferred shares held by JD.com Development Limited, a limited liability company incorporated under the laws of the British Virgin Islands. JD.com Development Limited is an indirect subsidiary wholly-owned by JD.com (Nasdaq: JD, HKSE: 9618). The registered address of JD.com Development Limited is P.O. Box 957, Offshore Incorporations Centre, Road Town, Tortola, British Virgin Islands. All of the ordinary shares and preferred shares held by JD.com Develop Limited will be automatically converted to Class B ordinary shares immediately prior to the completion of this offering.</w:t>
      </w:r>
    </w:p>
    <w:p>
      <w:pPr>
        <w:spacing w:after="0" w:line="111" w:lineRule="exact"/>
        <w:rPr>
          <w:rFonts w:ascii="Arial" w:cs="Arial" w:eastAsia="Arial" w:hAnsi="Arial"/>
          <w:sz w:val="14"/>
          <w:szCs w:val="14"/>
          <w:color w:val="auto"/>
        </w:rPr>
      </w:pPr>
    </w:p>
    <w:p>
      <w:pPr>
        <w:ind w:left="660" w:right="80" w:hanging="544"/>
        <w:spacing w:after="0" w:line="247" w:lineRule="auto"/>
        <w:tabs>
          <w:tab w:leader="none" w:pos="6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(i) 369,034 ordinary shares, 9,497,040 Series A preferred shares, 1,758,711 Series B-1 preferred shares, 2,879,784 Series B-2 preferred shares, and 840,614 Series E preferred shares held by Morningside China TMT Fund II, L.P., (ii) 1,825,679 Series C-1 preferred shares held by Morningside China TMT Top Up Fund, L.P., and (iii) 1,884,511 Series C-3 preferred shares held by Shanghai Chenxi Venture Capital Center (Limited Partnership). All of the ordinary shares and preferred shares held by the 5Y Capital entities will be automatically redesignated as Class A ordinary shares immediately prior to the completion of this offering.</w:t>
      </w:r>
    </w:p>
    <w:p>
      <w:pPr>
        <w:spacing w:after="0" w:line="106" w:lineRule="exact"/>
        <w:rPr>
          <w:rFonts w:ascii="Arial" w:cs="Arial" w:eastAsia="Arial" w:hAnsi="Arial"/>
          <w:sz w:val="14"/>
          <w:szCs w:val="14"/>
          <w:color w:val="auto"/>
        </w:rPr>
      </w:pPr>
    </w:p>
    <w:p>
      <w:pPr>
        <w:ind w:left="660" w:right="200"/>
        <w:spacing w:after="0" w:line="244" w:lineRule="auto"/>
        <w:rPr>
          <w:rFonts w:ascii="Arial" w:cs="Arial" w:eastAsia="Arial" w:hAnsi="Arial"/>
          <w:sz w:val="14"/>
          <w:szCs w:val="14"/>
          <w:color w:val="auto"/>
        </w:rPr>
      </w:pPr>
      <w:r>
        <w:rPr>
          <w:rFonts w:ascii="Arial" w:cs="Arial" w:eastAsia="Arial" w:hAnsi="Arial"/>
          <w:sz w:val="14"/>
          <w:szCs w:val="14"/>
          <w:color w:val="auto"/>
        </w:rPr>
        <w:t>Both Morningside China TMT Fund II, L.P. and Morningside China TMT Top Up Fund, L.P. are controlled by their general partner, Morningside China TMT GP II, L.P., which, in turn, is controlled by its general partner, TMT General Partner Ltd. TMT General Partner Ltd. is controlled by its board of directors which consists of five individuals, namely Jianming Shi, Qin Liu, Gerald Lokchung Chan, Maria K. Lam and Makim Wai On Andrew Ma. These directors have the voting and dispositive powers over the shares held by Morningside China TMT Fund II, L.P. and Morningside China TMT Top Up Fund, L.P. The registered address of Morningside China TMT Fund II, L.P. is Windward 3, Regatta Office Park, PO Box 1350, Grand Cayman KY1-1108, Cayman Islands. The registered address of Morningside China TMT Top Up Fund, L.P. is Windward 3, Regatta Office Park, PO Box 1350, Grand Cayman KY1-1108, Cayman Islands.</w:t>
      </w:r>
    </w:p>
    <w:p>
      <w:pPr>
        <w:spacing w:after="0" w:line="111" w:lineRule="exact"/>
        <w:rPr>
          <w:rFonts w:ascii="Arial" w:cs="Arial" w:eastAsia="Arial" w:hAnsi="Arial"/>
          <w:sz w:val="14"/>
          <w:szCs w:val="14"/>
          <w:color w:val="auto"/>
        </w:rPr>
      </w:pPr>
    </w:p>
    <w:p>
      <w:pPr>
        <w:ind w:left="660" w:right="60"/>
        <w:spacing w:after="0" w:line="247" w:lineRule="auto"/>
        <w:rPr>
          <w:rFonts w:ascii="Arial" w:cs="Arial" w:eastAsia="Arial" w:hAnsi="Arial"/>
          <w:sz w:val="14"/>
          <w:szCs w:val="14"/>
          <w:color w:val="auto"/>
        </w:rPr>
      </w:pPr>
      <w:r>
        <w:rPr>
          <w:rFonts w:ascii="Arial" w:cs="Arial" w:eastAsia="Arial" w:hAnsi="Arial"/>
          <w:sz w:val="14"/>
          <w:szCs w:val="14"/>
          <w:color w:val="auto"/>
        </w:rPr>
        <w:t>Shanghai Chenxi Venture Capital Center (Limited Partnership) is controlled by its general partner, which in turn is controlled by an investment committee consisting of three individuals, i.e. Qin Liu, Jianming Shi and Yu Cheng. The three individuals have the voting and dispositive powers over the shares held by Shanghai Chenxi Venture Capital Center (Limited Partnership). The registered address of Shanghai Chenxi Venture Capital Center (Limited Partnership) is Building 26, 828-838 Zhangyang Road, China (Shanghai) Free Trade Pilot Zone, the People’s Republic of China.</w:t>
      </w:r>
    </w:p>
    <w:p>
      <w:pPr>
        <w:spacing w:after="0" w:line="106" w:lineRule="exact"/>
        <w:rPr>
          <w:rFonts w:ascii="Arial" w:cs="Arial" w:eastAsia="Arial" w:hAnsi="Arial"/>
          <w:sz w:val="14"/>
          <w:szCs w:val="14"/>
          <w:color w:val="auto"/>
        </w:rPr>
      </w:pPr>
    </w:p>
    <w:p>
      <w:pPr>
        <w:ind w:left="660" w:right="20" w:hanging="544"/>
        <w:spacing w:after="0" w:line="245" w:lineRule="auto"/>
        <w:tabs>
          <w:tab w:leader="none" w:pos="6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(i) 200,514 ordinary shares; (ii) 281,923 Series C-3 preferred shares; (iii) 7,952,405 Series D-2 preferred shares; (iv) 560,410 Series E preferred shares; and (v) 900,548 Series F preferred shares held by Internet Fund IV Pte. Ltd., a company formed under the laws of Singapore. Internet Fund IV Pte. Ltd. is ultimately controlled by Charles P. Coleman III and Scott L. Shleifer. The registered address of Internet Fund IV Pte. Ltd. is 8 Temasek Boulevard, #3202 Suntec Tower Three, Singapore 038988. All of the ordinary shares and preferred shares held by Internet Fund IV Pte. Ltd. will be automatically redesignated as Class A ordinary shares immediately prior to the completion of this offering.</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60" w:hanging="544"/>
        <w:spacing w:after="0" w:line="243" w:lineRule="auto"/>
        <w:tabs>
          <w:tab w:leader="none" w:pos="66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Represents (i) 7,450,811 Series C-2 preferred shares held by Tiantu China Consumer Fund I, L.P., (ii) 429,089 Series C-3 preferred shares and 280,205 Series E preferred shares held by Tiantu China Consumer Fund II, L.P., and (iii) 3,383,070 Series C-3 preferred shares held by Shenzhen Tiantu Xingli Investment Enterprise (Limited Partnership). The ultimate beneficial owner of Tiantu China Consumer Fund I, L.P. is Ms. Xinting Wang. Both Tiantu China Consumer Fund II, L.P. and Shenzhen Tiantu Xingli Investment Enterprise (Limited Partnership) are indirectly controlled by Tian Tu Capital Co., Ltd., the shares of which are listed on the National Equities Exchange and Quotations. Mr. Yonghua Wang is the actual controlling person of Tian Tu Capital Co., Ltd. Ms. Xinting Wang is Mr. Yonghua Wang’s daughter. The registered address of Tiantu China Consumer Fund I, L.P. is Intertrust Corporate Services (Cayman) Limited, One Nexus Way, Camana Bay, Grand Cayman KY1-9005, Cayman Islands. The registered address of Tiantu China Consumer Fund II, L.P. is Intertrust Corporate Services (Cayman) Limited, One Nexus Way, Camana Bay, Grand Cayman KY1-9005, Cayman Islands. The registered address of Shenzhen Tiantu Xingli Investment Enterprise (Limited Partnership) is 23/F-2/3, Block 1, Building B, Wisdom Plaza, 4068 Qiaoxiang Road, Nanshan District, Shenzhen, the People’s Republic of China. All of the preferred shares held by Tiantu entities will be automatically redesignated as Class A ordinary shares immediately prior to the completion of this offering.</w:t>
      </w:r>
    </w:p>
    <w:p>
      <w:pPr>
        <w:spacing w:after="0" w:line="200" w:lineRule="exact"/>
        <w:rPr>
          <w:sz w:val="20"/>
          <w:szCs w:val="20"/>
          <w:color w:val="auto"/>
        </w:rPr>
      </w:pPr>
    </w:p>
    <w:p>
      <w:pPr>
        <w:jc w:val="both"/>
        <w:ind w:left="120" w:right="460" w:firstLine="551"/>
        <w:spacing w:after="0"/>
        <w:rPr>
          <w:sz w:val="20"/>
          <w:szCs w:val="20"/>
          <w:color w:val="auto"/>
        </w:rPr>
      </w:pPr>
      <w:r>
        <w:rPr>
          <w:rFonts w:ascii="Arial" w:cs="Arial" w:eastAsia="Arial" w:hAnsi="Arial"/>
          <w:sz w:val="18"/>
          <w:szCs w:val="18"/>
          <w:color w:val="auto"/>
        </w:rPr>
        <w:t>As of the date of this prospectus, a total of 458,313 ordinary shares and 4,815,989 preferred shares are held by one holder of record in the United States, representing approximately 3.9% of our total ordinary shares issued and outstanding on an as-converted basis.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RELATED PARTY TRANSACTIONS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Arrangements with Our VIEs and Their Respective Shareholders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“Corporate History and Structure.”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“Description of Share Capital—Shareholders Agreement.”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“Management—Share Incentive Plan.”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Related Parties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2018, we had the following transactions with related parties:</w:t>
      </w:r>
    </w:p>
    <w:p>
      <w:pPr>
        <w:spacing w:after="0" w:line="117" w:lineRule="exact"/>
        <w:rPr>
          <w:sz w:val="20"/>
          <w:szCs w:val="20"/>
          <w:color w:val="auto"/>
        </w:rPr>
      </w:pPr>
    </w:p>
    <w:p>
      <w:pPr>
        <w:ind w:left="880" w:hanging="224"/>
        <w:spacing w:after="0" w:line="246"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sold pre-owned consumer electronics to Beijing Xichen Technology Co., Ltd., one of our equity investees, for a consideration of RMB16.4 million.</w:t>
      </w:r>
    </w:p>
    <w:p>
      <w:pPr>
        <w:spacing w:after="0" w:line="102" w:lineRule="exact"/>
        <w:rPr>
          <w:rFonts w:ascii="Arial" w:cs="Arial" w:eastAsia="Arial" w:hAnsi="Arial"/>
          <w:sz w:val="18"/>
          <w:szCs w:val="18"/>
          <w:color w:val="auto"/>
        </w:rPr>
      </w:pPr>
    </w:p>
    <w:p>
      <w:pPr>
        <w:ind w:left="880" w:right="420" w:hanging="224"/>
        <w:spacing w:after="0" w:line="246"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and sourcing of inventory that benefits our entire platform, including AHS Recycle, PJT Marketplace and Paipai Marketplace, from JD Group for a total consideration of RMB21.0 million.</w:t>
      </w:r>
    </w:p>
    <w:p>
      <w:pPr>
        <w:spacing w:after="0" w:line="102" w:lineRule="exact"/>
        <w:rPr>
          <w:rFonts w:ascii="Arial" w:cs="Arial" w:eastAsia="Arial" w:hAnsi="Arial"/>
          <w:sz w:val="18"/>
          <w:szCs w:val="18"/>
          <w:color w:val="auto"/>
        </w:rPr>
      </w:pPr>
    </w:p>
    <w:p>
      <w:pPr>
        <w:jc w:val="both"/>
        <w:ind w:left="880" w:right="20" w:hanging="224"/>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extended a loan of RMB32.9 million to Jinsong (Shanghai) Network Information Technology Co., Ltd., or Jinsong, one of our equity investees of 8% per annum, and received an interest income of RMB0.2 million and a repayment of RMB26.1 million from Jinsong.</w:t>
      </w:r>
    </w:p>
    <w:p>
      <w:pPr>
        <w:spacing w:after="0" w:line="108"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received an income of RMB0.4 million from Fuzhou Ruifeng Renewable resources Co., Ltd., or Ruifeng, one of our equity investees, due to the outstanding loans we extended to Ruifeng previously.</w:t>
      </w:r>
    </w:p>
    <w:p>
      <w:pPr>
        <w:spacing w:after="0" w:line="102"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extended a loan of RMB6.0 million to Shanghai Yueqing Information Technology Co., Ltd., or Yueqing, one of our equity investees, at an interest rate of 8% per annum.</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We extended an interest-free payable on demand loan of RMB0.6 million to Shanghai Meda Information Technology Co., Ltd., or Meda, one of our equity investees.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2019, we had the following transactions with related parties:</w:t>
      </w:r>
    </w:p>
    <w:p>
      <w:pPr>
        <w:spacing w:after="0" w:line="117" w:lineRule="exact"/>
        <w:rPr>
          <w:sz w:val="20"/>
          <w:szCs w:val="20"/>
          <w:color w:val="auto"/>
        </w:rPr>
      </w:pPr>
    </w:p>
    <w:p>
      <w:pPr>
        <w:ind w:left="880" w:right="780" w:hanging="224"/>
        <w:spacing w:after="0" w:line="246"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provided consultation service to Manak Waste Management Private Limited, one of our equity investees, for a total consideration of RMB6.4 million.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We purchased new consumer electronics from JD Group for a total consideration of RMB8.1 million.</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9"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6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and sourcing of inventory that benefits our entire platform, including AHS Recycle, PJT Marketplace and Paipai Marketplace, and R&amp;D services from JD Group for a total consideration of RMB82.6 million.</w:t>
      </w:r>
    </w:p>
    <w:p>
      <w:pPr>
        <w:spacing w:after="0" w:line="108" w:lineRule="exact"/>
        <w:rPr>
          <w:rFonts w:ascii="Arial" w:cs="Arial" w:eastAsia="Arial" w:hAnsi="Arial"/>
          <w:sz w:val="18"/>
          <w:szCs w:val="18"/>
          <w:color w:val="auto"/>
        </w:rPr>
      </w:pPr>
    </w:p>
    <w:p>
      <w:pPr>
        <w:ind w:left="880" w:right="100" w:hanging="224"/>
        <w:spacing w:after="0" w:line="237"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disposed of our household waste recycling business to Shanghai Yuekun Environmental Protection Technology Co., Ltd., or Yuekun, a company controlled by Mr. Kerry Xuefeng Chen, in exchange for economic rights (without any voting or significant participation rights) to 52.5% of the total outstanding shares of Yuekun’s holding company in Cayman islands. We recognized a loss of RMB9.3 million upon disposal. We also extended a loan of RMB81.6 million to Yuekun at an interest rate of 7% per annum and received an interest income of RMB352.0 thousand from Yuekun. Mr. Kerry Xuefeng Chen provided guarantee on the repayment of the loan. We received a repayment of RMB20.1 million from Yuekun.</w:t>
      </w:r>
    </w:p>
    <w:p>
      <w:pPr>
        <w:spacing w:after="0" w:line="110" w:lineRule="exact"/>
        <w:rPr>
          <w:rFonts w:ascii="Arial" w:cs="Arial" w:eastAsia="Arial" w:hAnsi="Arial"/>
          <w:sz w:val="18"/>
          <w:szCs w:val="18"/>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received an income of RMB0.3 million from Ruifeng.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extended a loan of RMB3.5 million to Yueqing at an interest rate of 8% per annum.</w:t>
      </w:r>
    </w:p>
    <w:p>
      <w:pPr>
        <w:spacing w:after="0" w:line="117"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extended an interest-free payable on demand loan of RMB3.9 million to Shenzhen Aileyou Information Technology Co., Ltd., or Aileyou, one of our equity investees, and received a repayment of RMB1.5 million from Aileyou.</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extended a loan of RMB75 million to Jinsong and received a repayment of RMB81.8 million from Jinsong.</w:t>
      </w:r>
    </w:p>
    <w:p>
      <w:pPr>
        <w:spacing w:after="0" w:line="117" w:lineRule="exact"/>
        <w:rPr>
          <w:rFonts w:ascii="Arial" w:cs="Arial" w:eastAsia="Arial" w:hAnsi="Arial"/>
          <w:sz w:val="18"/>
          <w:szCs w:val="18"/>
          <w:color w:val="auto"/>
        </w:rPr>
      </w:pPr>
    </w:p>
    <w:p>
      <w:pPr>
        <w:ind w:left="880" w:hanging="224"/>
        <w:spacing w:after="0" w:line="237"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acquired Paipai, a B2C online retail platform for pre-owned products, from JD.com, Inc. on June 3, 2019. The tangible assets acquired primarily include property and equipment related to the operations of Paipai platform such as computers. The intangible assets acquired primarily include resources provided by JD under a business cooperation agreement entered into together with the acquisition of Paipai, brand names, non-compete commitment, technology and platform, deferred tax liabilities and goodwill. In addition to the tangible and intangible assets, we received a net cash of US$20.1 million from JD. As a consideration, we issued 27,500,098 Series E preferred Shares to JD.com Development Limited.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2020, we had the following transactions with related parties:</w:t>
      </w:r>
    </w:p>
    <w:p>
      <w:pPr>
        <w:spacing w:after="0" w:line="117" w:lineRule="exact"/>
        <w:rPr>
          <w:sz w:val="20"/>
          <w:szCs w:val="20"/>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purchased new consumer electronics from JD Group for a total consideration of RMB25.4 million.</w:t>
      </w:r>
    </w:p>
    <w:p>
      <w:pPr>
        <w:spacing w:after="0" w:line="117" w:lineRule="exact"/>
        <w:rPr>
          <w:rFonts w:ascii="Arial" w:cs="Arial" w:eastAsia="Arial" w:hAnsi="Arial"/>
          <w:sz w:val="18"/>
          <w:szCs w:val="18"/>
          <w:color w:val="auto"/>
        </w:rPr>
      </w:pPr>
    </w:p>
    <w:p>
      <w:pPr>
        <w:ind w:left="880" w:right="46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and sourcing of inventory that benefits our entire platform, including AHS Recycle, PJT Marketplace and Paipai Marketplace, and R&amp;D services from JD Group for a total consideration of RMB166.1 million.</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from Aileyou for a total consideration of RMB2.0 million.</w:t>
      </w:r>
    </w:p>
    <w:p>
      <w:pPr>
        <w:spacing w:after="0" w:line="117" w:lineRule="exact"/>
        <w:rPr>
          <w:rFonts w:ascii="Arial" w:cs="Arial" w:eastAsia="Arial" w:hAnsi="Arial"/>
          <w:sz w:val="18"/>
          <w:szCs w:val="18"/>
          <w:color w:val="auto"/>
        </w:rPr>
      </w:pPr>
    </w:p>
    <w:p>
      <w:pPr>
        <w:ind w:left="880" w:right="46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extended a loan of RMB138.3 million to Yuekun at an interest rate of 7% per annum and received an interest income of RMB1.8 million from Yuekun. We also received a repayment of RMB175.8 million from Yuekun, a portion of which was repayment of loans we extended in prior years.</w:t>
      </w:r>
    </w:p>
    <w:p>
      <w:pPr>
        <w:spacing w:after="0" w:line="103"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extended an interest-free payable on demand loan of RMB2.4 million to Aileyou, and received a repayment of</w:t>
      </w:r>
    </w:p>
    <w:p>
      <w:pPr>
        <w:ind w:left="880" w:right="260"/>
        <w:spacing w:after="0" w:line="246" w:lineRule="auto"/>
        <w:rPr>
          <w:rFonts w:ascii="Arial" w:cs="Arial" w:eastAsia="Arial" w:hAnsi="Arial"/>
          <w:sz w:val="18"/>
          <w:szCs w:val="18"/>
          <w:color w:val="auto"/>
        </w:rPr>
      </w:pPr>
      <w:r>
        <w:rPr>
          <w:rFonts w:ascii="Arial" w:cs="Arial" w:eastAsia="Arial" w:hAnsi="Arial"/>
          <w:sz w:val="18"/>
          <w:szCs w:val="18"/>
          <w:color w:val="auto"/>
        </w:rPr>
        <w:t>RMB2.9 million from Aileyou, a portion of which was repayment of loans we extended in prior year. The loan is expected to be repaid in full in 2021.</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2021, we had the following transactions with related parties:</w:t>
      </w:r>
    </w:p>
    <w:p>
      <w:pPr>
        <w:spacing w:after="0" w:line="117" w:lineRule="exact"/>
        <w:rPr>
          <w:sz w:val="20"/>
          <w:szCs w:val="20"/>
          <w:color w:val="auto"/>
        </w:rPr>
      </w:pPr>
    </w:p>
    <w:p>
      <w:pPr>
        <w:ind w:left="880" w:right="46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and sourcing of inventory that benefits our entire platform, including AHS Recycle, PJT Marketplace and Paipai Marketplace, and R&amp;D services from JD Group for a total consideration of RMB55.4 million.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purchased service related to traffic acquisition from Aileyou for a total consideration of RMB1.3 million.</w:t>
      </w:r>
    </w:p>
    <w:p>
      <w:pPr>
        <w:spacing w:after="0" w:line="117" w:lineRule="exact"/>
        <w:rPr>
          <w:rFonts w:ascii="Arial" w:cs="Arial" w:eastAsia="Arial" w:hAnsi="Arial"/>
          <w:sz w:val="18"/>
          <w:szCs w:val="18"/>
          <w:color w:val="auto"/>
        </w:rPr>
      </w:pPr>
    </w:p>
    <w:p>
      <w:pPr>
        <w:ind w:left="880" w:right="20" w:hanging="224"/>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We extended a loan of RMB69.4 million to Yuekun at an interest rate of 7% per annum and received an interest income of RMB1.2 million from Yuekun. We also received a repayment of RMB72.2 million from Yuekun, a portion of which was repayment of loans we extended in prior years.</w:t>
      </w:r>
    </w:p>
    <w:p>
      <w:pPr>
        <w:spacing w:after="0" w:line="203"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7"/>
          <w:szCs w:val="17"/>
          <w:color w:val="auto"/>
        </w:rPr>
        <w:t>From March 31, 2021 to the date of this prospectus, we (i) granted a total of 2,964,091 immediately vested restricted share units to Kerry Xuefeng Chen, our chairman and chief executive officer, in April 2021; (ii) issued 720,439 series F preferred shares, 225,538 series C-3 preferred shares and 160,411 ordinary shares to JD.com Development Limited in April 2021; (iii) issued series E preferred shares to Tianjin Huihe Haihe Intelligent Logistics Industry Fund Partnership (Limited Partnership) in May 2021; (iv) issued (a) 281,923 series C-3 preferred shares, (b) 900,548 series F preferred shares, and (c) 200,514 ordinary shares to Internet Fund IV Pte. Ltd. in April 2021; and</w:t>
      </w:r>
    </w:p>
    <w:p>
      <w:pPr>
        <w:spacing w:after="0" w:line="3" w:lineRule="exact"/>
        <w:rPr>
          <w:sz w:val="20"/>
          <w:szCs w:val="20"/>
          <w:color w:val="auto"/>
        </w:rPr>
      </w:pPr>
    </w:p>
    <w:p>
      <w:pPr>
        <w:ind w:left="120" w:hanging="4"/>
        <w:spacing w:after="0" w:line="246" w:lineRule="auto"/>
        <w:tabs>
          <w:tab w:leader="none" w:pos="3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entered into an amended and restated business cooperation agreement on April 20, 2021 with JD.com, Inc.. See “Description of Share Capital—History of Securities Issuances” and “Business—Supply Side—Partnership with key supply sources” for more details.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80"/>
          </w:cols>
          <w:pgMar w:left="320" w:top="459" w:right="4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SHARE CAPITAL</w:t>
      </w:r>
    </w:p>
    <w:p>
      <w:pPr>
        <w:spacing w:after="0" w:line="234"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We are a Cayman Islands exempted company incorporated with limited liability and our affairs are governed by our memorandum and articles of association, the Companies Act (As Revised) of the Cayman Islands, which we refer to as the Companies Act below, and the common law of the Cayman Islands.</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of the date of this prospectus, our authorized share capital is US$300,000 divided into 300,000,000 shares with a par value of US$ 0.001 each, comprising of (i) 182,665,628 ordinary shares with a par value of US$ 0.001 each; (ii) 9,497,040 Series A preferred shares with a par value of US$0.001 each; (iii) 7,586,836 Series B preferred shares with a par value of US$ 0.001 each, comprising of (a) 1,758,711 Series B-1 preferred shares, (b) 2,879,784 Series B-2 preferred shares and (c) 2,948,341 Series B-3 preferred shares; (iv) 44,226,287 Series C preferred shares with a par value of US$0.001 each, comprising of (a) 2,747,350 Series C-1 preferred shares, (b) 17,099,501 Series C-2 preferred shares and (c) 24,379,436 Series C-3 preferred shares; (v) 10,068,160 Series D preferred shares with a par value of US$0.001 each, comprising of (a) 2,115,755 Series D-1 preferred shares and (b) 7,952,405 Series D-2 preferred shares; (vi) 36,178,666 Series E preferred shares and 9,777,383 Series F preferred shares with a par value of US$0.001 each.</w:t>
      </w:r>
    </w:p>
    <w:p>
      <w:pPr>
        <w:spacing w:after="0" w:line="208" w:lineRule="exact"/>
        <w:rPr>
          <w:sz w:val="20"/>
          <w:szCs w:val="20"/>
          <w:color w:val="auto"/>
        </w:rPr>
      </w:pPr>
    </w:p>
    <w:p>
      <w:pPr>
        <w:ind w:left="120" w:right="20" w:firstLine="551"/>
        <w:spacing w:after="0" w:line="234" w:lineRule="auto"/>
        <w:rPr>
          <w:sz w:val="20"/>
          <w:szCs w:val="20"/>
          <w:color w:val="auto"/>
        </w:rPr>
      </w:pPr>
      <w:r>
        <w:rPr>
          <w:rFonts w:ascii="Arial" w:cs="Arial" w:eastAsia="Arial" w:hAnsi="Arial"/>
          <w:sz w:val="18"/>
          <w:szCs w:val="18"/>
          <w:color w:val="auto"/>
        </w:rPr>
        <w:t>As of the date of this prospectus, 18,782,620 ordinary shares, 9,497,040 Series A preferred shares, 1,758,711 Series B-1 preferred shares, 2,879,784 Series B-2 preferred shares, 2,948,341 Series B-3 preferred shares, 2,747,350 Series C-1 preferred shares,</w:t>
      </w:r>
    </w:p>
    <w:p>
      <w:pPr>
        <w:spacing w:after="0" w:line="1"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17,099,501 Series C-2 preferred shares, 24,379,436 Series C-3 preferred shares, 2,115,755 Series D-1 preferred shares, 7,952,405 Series D-2 preferred shares, 36,178,666 Series E preferred shares and 9,777,383 Series F preferred shares are issued and outstanding. All of our issued and outstanding ordinary shares and preferred shares are fully paid.</w:t>
      </w:r>
    </w:p>
    <w:p>
      <w:pPr>
        <w:spacing w:after="0" w:line="203"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7"/>
          <w:szCs w:val="17"/>
          <w:color w:val="auto"/>
        </w:rPr>
        <w:t>Immediately prior to the completion of this offering, our authorized share capital will be US$1,000,000 divided into 1,000,000,000 shares comprising of (i) 941,472,561 Class A Ordinary Shares of a par value of US$0.001 each, (ii) 47,240,103 Class B Ordinary Shares of a par value of US$0.001 each, and (iii) 11,287,336 Class C Ordinary Shares of a par value of US$0.001 each, and there will be</w:t>
      </w:r>
    </w:p>
    <w:p>
      <w:pPr>
        <w:spacing w:after="0" w:line="2"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ordinary shares outstanding, including a total of Class A ordinary shares, Class B ordinary shares and Class C ordinary shares, assuming the underwriters do not exercise the over-allotment option.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Post-Offering Memorandum and Articles of Association</w:t>
      </w:r>
    </w:p>
    <w:p>
      <w:pPr>
        <w:spacing w:after="0" w:line="234"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Subject to the approval of our shareholders, we will adopt a further amended and restated memorandum and articles of association, which will become effective and replace our currently effective memorandum and articles of association in its entirety immediately prior to the completion of this offering. The following are summaries of material provisions of the post-offering memorandum and articles of association and of the Companies Act, insofar as they relate to the material terms of our ordinary shares.</w:t>
      </w:r>
    </w:p>
    <w:p>
      <w:pPr>
        <w:spacing w:after="0" w:line="183"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b w:val="1"/>
          <w:bCs w:val="1"/>
          <w:i w:val="1"/>
          <w:iCs w:val="1"/>
          <w:color w:val="auto"/>
        </w:rPr>
        <w:t>Objects of Our Company</w:t>
      </w:r>
      <w:r>
        <w:rPr>
          <w:rFonts w:ascii="Arial" w:cs="Arial" w:eastAsia="Arial" w:hAnsi="Arial"/>
          <w:sz w:val="18"/>
          <w:szCs w:val="18"/>
          <w:color w:val="auto"/>
        </w:rPr>
        <w:t>. Under our post-offering memorandum and articles of association, the objects of our company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unrestricted and we have the full power and authority to carry out any object not prohibited by the laws of the Cayman Islands.</w:t>
      </w:r>
    </w:p>
    <w:p>
      <w:pPr>
        <w:spacing w:after="0" w:line="154"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b w:val="1"/>
          <w:bCs w:val="1"/>
          <w:i w:val="1"/>
          <w:iCs w:val="1"/>
          <w:color w:val="auto"/>
        </w:rPr>
        <w:t xml:space="preserve">Ordinary Shares. </w:t>
      </w:r>
      <w:r>
        <w:rPr>
          <w:rFonts w:ascii="Arial" w:cs="Arial" w:eastAsia="Arial" w:hAnsi="Arial"/>
          <w:sz w:val="18"/>
          <w:szCs w:val="18"/>
          <w:color w:val="auto"/>
        </w:rPr>
        <w:t>Our ordinary shares are divided into Class A ordinary shares, Class B ordinary shares and Class C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Holders of our Class A ordinary shares, Class B ordinary</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shares and Class C ordinary shares will have the same rights except for voting and conversion rights.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81"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Each Class B ordinary share or Class C ordinary share is convertible into one Class A ordinary share, whereas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are not convertible into Class B ordinary shares or Class C ordinary shares under any circumstances. Class B ordinary shares are not convertible into Class C ordinary shares, and vice versa. Upon (a) any direct or indirect sale, transfer, assignment or disposition of Class B ordinary shares by the holder thereof or the direct or indirect transfer or assignment of the voting power attached to such Class B ordinary shares through voting proxy or otherwise to any person that is not ultimately controlled by JD.com, Inc.;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ultimately controlled by JD.com, Inc., such Class B ordinary shares are automatically and immediately converted into an equal number of Class A ordinary shares</w:t>
      </w:r>
    </w:p>
    <w:p>
      <w:pPr>
        <w:spacing w:after="0" w:line="20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Upon (i) any direct or indirect sale, transfer, assignment or disposition of such number of Class C ordinary shares by the holder thereof or the direct or indirect transfer or assignment of the voting power attached to such number of Class C ordinary shares through voting proxy or otherwise to any person that is not an affiliate of such holder; (ii)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C ordinary shares that is an entity to any person that is not an affiliate of such holder; (iii) Mr. Kerry Xuefeng Chen, or the founder, being neither a director nor the chief executive officer of our company; (iv) the founder ceases to be the ultimate beneficial owner of any outstanding Class C ordinary shares; (v) the founder ceases to be the ultimate beneficial owner of C&amp;XF Group Limited or any other entity that holds Class C ordinary shares; or (vi) the founder being permanently unable to attend board meetings and manage the business affairs of our company as a result of incapacity solely due to his then physical and /or mental condition (which, for the avoidance of doubt, does not include any confinement against his will), such Class C ordinary shares are automatically and immediately converted into an equal number of Class A ordinary shares.</w:t>
      </w:r>
    </w:p>
    <w:p>
      <w:pPr>
        <w:spacing w:after="0" w:line="182"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Our directors may from time to time declare dividends (including interim dividends) and other distributions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in issue and authorize payment of the same out of the funds of our company lawfully available therefor. In addition, our shareholders may declare dividends by ordinary resolution, but no dividend shall exceed the amount recommended by our directors. Our post-offering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5"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In respect of all matters subject to a shareholders’ vote, each holder of Class A ordinary shares is entitled to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per share, each holder of Class B ordinary shares is entitled to three votes per share and each holder of Class C ordinary shares is entitled to fifteen votes per share subject to vote at our general meetings. Our Class A ordinary shares, Class B ordinary shares and Class C ordinary shares vote together as a single class on all matters submitted to a vote of our</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360"/>
        <w:spacing w:after="0"/>
        <w:rPr>
          <w:sz w:val="20"/>
          <w:szCs w:val="20"/>
          <w:color w:val="auto"/>
        </w:rPr>
      </w:pPr>
      <w:r>
        <w:rPr>
          <w:rFonts w:ascii="Arial" w:cs="Arial" w:eastAsia="Arial" w:hAnsi="Arial"/>
          <w:sz w:val="18"/>
          <w:szCs w:val="18"/>
          <w:color w:val="auto"/>
        </w:rPr>
        <w:t>shareholders, except as may otherwise be required by law. Voting at any meeting of shareholders is by show of hands unless a poll is demanded. A poll may be demanded by the chairman of such meeting or any one shareholder holding not less than 10% of the votes attaching to the shares present in person or by proxy.</w:t>
      </w:r>
    </w:p>
    <w:p>
      <w:pPr>
        <w:spacing w:after="0" w:line="20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issued and outstanding ordinary shares cast at a meeting. A special resolution will be required for important matters such as a change of name or making changes to our post-offering memorandum and articles of association. Our shareholders may, among other things, divide or combine their shares by ordinary resolution.</w:t>
      </w:r>
    </w:p>
    <w:p>
      <w:pPr>
        <w:spacing w:after="0" w:line="180"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b w:val="1"/>
          <w:bCs w:val="1"/>
          <w:i w:val="1"/>
          <w:iCs w:val="1"/>
          <w:color w:val="auto"/>
        </w:rPr>
        <w:t>General Meetings of Shareholders</w:t>
      </w:r>
      <w:r>
        <w:rPr>
          <w:rFonts w:ascii="Arial" w:cs="Arial" w:eastAsia="Arial" w:hAnsi="Arial"/>
          <w:sz w:val="18"/>
          <w:szCs w:val="18"/>
          <w:color w:val="auto"/>
        </w:rPr>
        <w:t>. As a Cayman Islands exempted company, we are not obliged by the Companies Act to call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annual general meetings. 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96"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7"/>
          <w:szCs w:val="17"/>
          <w:color w:val="auto"/>
        </w:rPr>
        <w:t>Shareholders’ general meetings may be convened by the chairman of our board of directors or by our directors (acting by a resolution of our board). Advance notice of at least seven days is required for the convening of our annual general shareholders’ meeting (if any) and any other general meeting of our shareholders. A quorum required for any general meeting of shareholders consists of, at the time when the meeting proceeds to business, one or more of our shareholders holding shares which carry in aggregate (or representing by proxy) not less than one-third of all votes attaching to all of our shares in issue and entitled to vote at such general meeting.</w:t>
      </w:r>
    </w:p>
    <w:p>
      <w:pPr>
        <w:spacing w:after="0" w:line="190"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will convene an extraordinary general meeting and put the resolutions so 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186"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b w:val="1"/>
          <w:bCs w:val="1"/>
          <w:i w:val="1"/>
          <w:iCs w:val="1"/>
          <w:color w:val="auto"/>
        </w:rPr>
        <w:t>Transfer of Ordinary Shares</w:t>
      </w:r>
      <w:r>
        <w:rPr>
          <w:rFonts w:ascii="Arial" w:cs="Arial" w:eastAsia="Arial" w:hAnsi="Arial"/>
          <w:sz w:val="18"/>
          <w:szCs w:val="18"/>
          <w:color w:val="auto"/>
        </w:rPr>
        <w:t>. Subject to the restrictions set out below, any of our shareholders may transfer all or any of his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 ordinary shares by an instrument of transfer in the usual or common form or any other form approved by our board of directors.</w:t>
      </w:r>
    </w:p>
    <w:p>
      <w:pPr>
        <w:spacing w:after="0" w:line="17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02" w:lineRule="exact"/>
        <w:rPr>
          <w:sz w:val="20"/>
          <w:szCs w:val="20"/>
          <w:color w:val="auto"/>
        </w:rPr>
      </w:pPr>
    </w:p>
    <w:p>
      <w:pPr>
        <w:ind w:left="880" w:right="220" w:hanging="224"/>
        <w:spacing w:after="0" w:line="246" w:lineRule="auto"/>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360" w:hanging="224"/>
        <w:spacing w:after="0" w:line="24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102"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fee of such maximum sum as the NYSE may determine to be payable or such lesser sum as our directors may from time to time require is paid to us in respect thereof.</w:t>
      </w:r>
    </w:p>
    <w:p>
      <w:pPr>
        <w:spacing w:after="0" w:line="197"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97"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registration of transfers may, on ten calendar days’ notice being given by advertisement in such one or more newspapers, by electronic means or by any other means in accordance with the rules of the NYSE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3" w:lineRule="exact"/>
        <w:rPr>
          <w:sz w:val="20"/>
          <w:szCs w:val="20"/>
          <w:color w:val="auto"/>
        </w:rPr>
      </w:pPr>
    </w:p>
    <w:p>
      <w:pPr>
        <w:ind w:left="120" w:right="20" w:firstLine="551"/>
        <w:spacing w:after="0" w:line="242" w:lineRule="auto"/>
        <w:rPr>
          <w:sz w:val="20"/>
          <w:szCs w:val="20"/>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color w:val="auto"/>
        </w:rPr>
        <w:t>. On the winding up of our company, if the assets available for distribution amongst our shareholders shall be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the assets will be distributed so that, as nearly as may be, the losses are borne by our shareholders in proportion to the par value of the shares held by them.</w:t>
      </w:r>
    </w:p>
    <w:p>
      <w:pPr>
        <w:spacing w:after="0" w:line="179" w:lineRule="exact"/>
        <w:rPr>
          <w:sz w:val="20"/>
          <w:szCs w:val="20"/>
          <w:color w:val="auto"/>
        </w:rPr>
      </w:pPr>
    </w:p>
    <w:p>
      <w:pPr>
        <w:jc w:val="both"/>
        <w:ind w:left="120" w:right="80" w:firstLine="551"/>
        <w:spacing w:after="0" w:line="253" w:lineRule="auto"/>
        <w:rPr>
          <w:sz w:val="20"/>
          <w:szCs w:val="20"/>
          <w:color w:val="auto"/>
        </w:rPr>
      </w:pPr>
      <w:r>
        <w:rPr>
          <w:rFonts w:ascii="Arial" w:cs="Arial" w:eastAsia="Arial" w:hAnsi="Arial"/>
          <w:sz w:val="18"/>
          <w:szCs w:val="18"/>
          <w:b w:val="1"/>
          <w:bCs w:val="1"/>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unpaid on their shares in a notice served to such shareholders at least 14 days prior to the specified time and place of payment. The shares that have been called upon and remain unpaid are subject to forfeiture.</w:t>
      </w:r>
    </w:p>
    <w:p>
      <w:pPr>
        <w:spacing w:after="0" w:line="16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i w:val="1"/>
          <w:iCs w:val="1"/>
          <w:color w:val="auto"/>
        </w:rPr>
        <w:t>Redemption, Repurchase and Surrender of Shares</w:t>
      </w:r>
      <w:r>
        <w:rPr>
          <w:rFonts w:ascii="Arial" w:cs="Arial" w:eastAsia="Arial" w:hAnsi="Arial"/>
          <w:sz w:val="18"/>
          <w:szCs w:val="18"/>
          <w:color w:val="auto"/>
        </w:rPr>
        <w:t>. We may issue shares on terms that such shares are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redemption, at our option or at the option of the holders of these shares, on such terms and in such manner as may be determined, before the issue of such shares, by our board of directors or by our shareholders by special resolution.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outstanding or (iii) if the company has commenced liquidation. In addition, our company may accept the surrender of any fully paid share for no consideration.</w:t>
      </w:r>
    </w:p>
    <w:p>
      <w:pPr>
        <w:spacing w:after="0" w:line="180"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i w:val="1"/>
          <w:iCs w:val="1"/>
          <w:color w:val="auto"/>
        </w:rPr>
        <w:t>Variations of Rights of Shares</w:t>
      </w:r>
      <w:r>
        <w:rPr>
          <w:rFonts w:ascii="Arial" w:cs="Arial" w:eastAsia="Arial" w:hAnsi="Arial"/>
          <w:sz w:val="18"/>
          <w:szCs w:val="18"/>
          <w:color w:val="auto"/>
        </w:rPr>
        <w:t>. Whenever the capital of our company is divided into different classes the rights attached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class may, subject to any rights or restrictions for the time being attached to any class, only be materially and adversely varied with the consent in writing of the holders of at least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80"/>
          </w:cols>
          <w:pgMar w:left="320" w:top="459"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any rights or restrictions for the time being attached to the shares of that class, be deemed to be materially and adversely varied by the creation, allotment or issue of further shares ranking pari passu with or subsequent to them or the redemption or purchase of any shares of any class by our company. The rights of the holders of shares shall not be deemed to be materially and adversely varied by the creation or issue of shares with preferred or other rights including, without limitation, the creation of shares with enhanced or weighted voting rights.</w:t>
      </w:r>
    </w:p>
    <w:p>
      <w:pPr>
        <w:spacing w:after="0" w:line="167" w:lineRule="exact"/>
        <w:rPr>
          <w:sz w:val="20"/>
          <w:szCs w:val="20"/>
          <w:color w:val="auto"/>
        </w:rPr>
      </w:pPr>
    </w:p>
    <w:p>
      <w:pPr>
        <w:ind w:left="120" w:right="180" w:firstLine="551"/>
        <w:spacing w:after="0" w:line="253" w:lineRule="auto"/>
        <w:rPr>
          <w:sz w:val="20"/>
          <w:szCs w:val="20"/>
          <w:color w:val="auto"/>
        </w:rPr>
      </w:pPr>
      <w:r>
        <w:rPr>
          <w:rFonts w:ascii="Arial" w:cs="Arial" w:eastAsia="Arial" w:hAnsi="Arial"/>
          <w:sz w:val="18"/>
          <w:szCs w:val="18"/>
          <w:b w:val="1"/>
          <w:bCs w:val="1"/>
          <w:i w:val="1"/>
          <w:iCs w:val="1"/>
          <w:color w:val="auto"/>
        </w:rPr>
        <w:t>Issuance of Additional Shares</w:t>
      </w:r>
      <w:r>
        <w:rPr>
          <w:rFonts w:ascii="Arial" w:cs="Arial" w:eastAsia="Arial" w:hAnsi="Arial"/>
          <w:sz w:val="18"/>
          <w:szCs w:val="18"/>
          <w:color w:val="auto"/>
        </w:rPr>
        <w:t>. Our post-offering memorandum and articles of association authorizes our board of directors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additional ordinary shares from time to time as our board of directors shall determine, to the extent of available authorized but unissued shares, without the need for any approval or consent from our shareholders.</w:t>
      </w:r>
    </w:p>
    <w:p>
      <w:pPr>
        <w:spacing w:after="0" w:line="191"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Our post-offering memorandum and articles of association also authorizes our board of directors, without the need for any approval or consent from our shareholders, to establish from time to time one or more series of preference shares and to determine, with respect to any series of preference shares, the terms and rights of that series, including:</w:t>
      </w:r>
    </w:p>
    <w:p>
      <w:pPr>
        <w:spacing w:after="0" w:line="108" w:lineRule="exact"/>
        <w:rPr>
          <w:sz w:val="20"/>
          <w:szCs w:val="20"/>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12" w:lineRule="exact"/>
        <w:rPr>
          <w:sz w:val="20"/>
          <w:szCs w:val="20"/>
          <w:color w:val="auto"/>
        </w:rPr>
      </w:pPr>
    </w:p>
    <w:p>
      <w:pPr>
        <w:ind w:left="120" w:right="240" w:firstLine="551"/>
        <w:spacing w:after="0" w:line="274" w:lineRule="auto"/>
        <w:rPr>
          <w:sz w:val="20"/>
          <w:szCs w:val="20"/>
          <w:color w:val="auto"/>
        </w:rPr>
      </w:pPr>
      <w:r>
        <w:rPr>
          <w:rFonts w:ascii="Arial" w:cs="Arial" w:eastAsia="Arial" w:hAnsi="Arial"/>
          <w:sz w:val="17"/>
          <w:szCs w:val="17"/>
          <w:color w:val="auto"/>
        </w:rPr>
        <w:t>Our board of directors may issue preference shares, without the need for any approval or consent from, or other action by, our shareholders to the extent authorized but unissued. Issuance of these shares may dilute the voting power of holders of ordinary shares.</w:t>
      </w:r>
    </w:p>
    <w:p>
      <w:pPr>
        <w:spacing w:after="0" w:line="153" w:lineRule="exact"/>
        <w:rPr>
          <w:sz w:val="20"/>
          <w:szCs w:val="20"/>
          <w:color w:val="auto"/>
        </w:rPr>
      </w:pPr>
    </w:p>
    <w:p>
      <w:pPr>
        <w:ind w:left="120" w:right="520" w:firstLine="551"/>
        <w:spacing w:after="0" w:line="247" w:lineRule="auto"/>
        <w:rPr>
          <w:sz w:val="20"/>
          <w:szCs w:val="20"/>
          <w:color w:val="auto"/>
        </w:rPr>
      </w:pPr>
      <w:r>
        <w:rPr>
          <w:rFonts w:ascii="Arial" w:cs="Arial" w:eastAsia="Arial" w:hAnsi="Arial"/>
          <w:sz w:val="18"/>
          <w:szCs w:val="18"/>
          <w:b w:val="1"/>
          <w:bCs w:val="1"/>
          <w:i w:val="1"/>
          <w:iCs w:val="1"/>
          <w:color w:val="auto"/>
        </w:rPr>
        <w:t>Inspection of Books and Records</w:t>
      </w:r>
      <w:r>
        <w:rPr>
          <w:rFonts w:ascii="Arial" w:cs="Arial" w:eastAsia="Arial" w:hAnsi="Arial"/>
          <w:sz w:val="18"/>
          <w:szCs w:val="18"/>
          <w:color w:val="auto"/>
        </w:rPr>
        <w:t>. Holders of our ordinary shares will have no general right under Cayman Islands law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inspect or obtain copies of our list of shareholders or our corporate records (other than copies of our memorandum and articles of association, our register of mortgages and charges and any special resolutions passed by our shareholders). However, we intend to provide our shareholders with annual audited financial statements. See “Where You Can Find Additional Information.”</w:t>
      </w:r>
    </w:p>
    <w:p>
      <w:pPr>
        <w:spacing w:after="0" w:line="174" w:lineRule="exact"/>
        <w:rPr>
          <w:sz w:val="20"/>
          <w:szCs w:val="20"/>
          <w:color w:val="auto"/>
        </w:rPr>
      </w:pPr>
    </w:p>
    <w:p>
      <w:pPr>
        <w:ind w:left="120" w:right="20" w:firstLine="551"/>
        <w:spacing w:after="0" w:line="271" w:lineRule="auto"/>
        <w:rPr>
          <w:sz w:val="20"/>
          <w:szCs w:val="20"/>
          <w:color w:val="auto"/>
        </w:rPr>
      </w:pPr>
      <w:r>
        <w:rPr>
          <w:rFonts w:ascii="Arial" w:cs="Arial" w:eastAsia="Arial" w:hAnsi="Arial"/>
          <w:sz w:val="18"/>
          <w:szCs w:val="18"/>
          <w:b w:val="1"/>
          <w:bCs w:val="1"/>
          <w:i w:val="1"/>
          <w:iCs w:val="1"/>
          <w:color w:val="auto"/>
        </w:rPr>
        <w:t>Anti-Takeover Provisions</w:t>
      </w:r>
      <w:r>
        <w:rPr>
          <w:rFonts w:ascii="Arial" w:cs="Arial" w:eastAsia="Arial" w:hAnsi="Arial"/>
          <w:sz w:val="18"/>
          <w:szCs w:val="18"/>
          <w:color w:val="auto"/>
        </w:rPr>
        <w:t>. Some provisions of our post-offering memorandum and articles of association may discourage, delay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prevent a change of control of our company or management that shareholders may consider favorable, including provisions that:</w:t>
      </w:r>
    </w:p>
    <w:p>
      <w:pPr>
        <w:spacing w:after="0" w:line="81" w:lineRule="exact"/>
        <w:rPr>
          <w:sz w:val="20"/>
          <w:szCs w:val="20"/>
          <w:color w:val="auto"/>
        </w:rPr>
      </w:pPr>
    </w:p>
    <w:p>
      <w:pPr>
        <w:ind w:left="880" w:right="80" w:hanging="224"/>
        <w:spacing w:after="0" w:line="24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181"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b w:val="1"/>
          <w:bCs w:val="1"/>
          <w:i w:val="1"/>
          <w:iCs w:val="1"/>
          <w:color w:val="auto"/>
        </w:rPr>
        <w:t>Exempted Company</w:t>
      </w:r>
      <w:r>
        <w:rPr>
          <w:rFonts w:ascii="Arial" w:cs="Arial" w:eastAsia="Arial" w:hAnsi="Arial"/>
          <w:sz w:val="18"/>
          <w:szCs w:val="18"/>
          <w:color w:val="auto"/>
        </w:rPr>
        <w:t>. We are an exempted company incorporated with limited liability under the Companies Act. The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 distinguishes between ordinary resident companies and exempted companies. Any company that is registered in the Cayman Islands but conducts business mainly outside of the Cayman Islands may apply to be registered as an exempted company. The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requirements for an exempted company are essentially the same as for an ordinary company except that an exempted company:</w:t>
      </w:r>
    </w:p>
    <w:p>
      <w:pPr>
        <w:spacing w:after="0" w:line="117" w:lineRule="exact"/>
        <w:rPr>
          <w:sz w:val="20"/>
          <w:szCs w:val="20"/>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8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b w:val="1"/>
          <w:bCs w:val="1"/>
          <w:i w:val="1"/>
          <w:iCs w:val="1"/>
          <w:color w:val="auto"/>
        </w:rPr>
        <w:t xml:space="preserve">Exclusive Forum. </w:t>
      </w:r>
      <w:r>
        <w:rPr>
          <w:rFonts w:ascii="Arial" w:cs="Arial" w:eastAsia="Arial" w:hAnsi="Arial"/>
          <w:sz w:val="18"/>
          <w:szCs w:val="18"/>
          <w:color w:val="auto"/>
        </w:rPr>
        <w:t>Without limiting the jurisdiction of the Cayman courts to hear, settle and/or determine disputes related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 courts of the Cayman Islands shall be the sole and exclusive forum for (i) any derivative action or proceeding brought on behalf of our company, (ii) any action asserting a claim of breach of a fiduciary duty owed by any director, officer, or other employee of our company to our company or the members, (iii) any action asserting a claim arising pursuant to any provision of the Companies Act or our articles of association including but not limited to any purchase or acquisition of shares, security, or guarantee provided in consideration thereof, or (iv) any action asserting a claim against our company which if brought in the United States of America would be a claim arising under the internal affairs doctrine (as such concept is recognized under the laws of the United States from time to time).</w:t>
      </w:r>
    </w:p>
    <w:p>
      <w:pPr>
        <w:spacing w:after="0" w:line="207"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our articles of association.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Differences in Corporate Law</w:t>
      </w:r>
    </w:p>
    <w:p>
      <w:pPr>
        <w:spacing w:after="0" w:line="234" w:lineRule="exact"/>
        <w:rPr>
          <w:sz w:val="20"/>
          <w:szCs w:val="20"/>
          <w:color w:val="auto"/>
        </w:rPr>
      </w:pPr>
    </w:p>
    <w:p>
      <w:pPr>
        <w:ind w:left="120" w:right="420" w:firstLine="551"/>
        <w:spacing w:after="0" w:line="246" w:lineRule="auto"/>
        <w:rPr>
          <w:sz w:val="20"/>
          <w:szCs w:val="20"/>
          <w:color w:val="auto"/>
        </w:rPr>
      </w:pPr>
      <w:r>
        <w:rPr>
          <w:rFonts w:ascii="Arial" w:cs="Arial" w:eastAsia="Arial" w:hAnsi="Arial"/>
          <w:sz w:val="18"/>
          <w:szCs w:val="18"/>
          <w:color w:val="auto"/>
        </w:rPr>
        <w:t>The Companies Act is derived, to a large extent, from the older Companies Acts of England but does not follow recent English statutory enactments and accordingly there are significant differences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80"/>
        <w:spacing w:after="0"/>
        <w:rPr>
          <w:sz w:val="20"/>
          <w:szCs w:val="20"/>
          <w:color w:val="auto"/>
        </w:rPr>
      </w:pPr>
      <w:r>
        <w:rPr>
          <w:rFonts w:ascii="Arial" w:cs="Arial" w:eastAsia="Arial" w:hAnsi="Arial"/>
          <w:sz w:val="18"/>
          <w:szCs w:val="18"/>
          <w:color w:val="auto"/>
        </w:rPr>
        <w:t>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8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b w:val="1"/>
          <w:bCs w:val="1"/>
          <w:i w:val="1"/>
          <w:iCs w:val="1"/>
          <w:color w:val="auto"/>
        </w:rPr>
        <w:t>Mergers and Similar Arrangements</w:t>
      </w:r>
      <w:r>
        <w:rPr>
          <w:rFonts w:ascii="Arial" w:cs="Arial" w:eastAsia="Arial" w:hAnsi="Arial"/>
          <w:sz w:val="18"/>
          <w:szCs w:val="18"/>
          <w:color w:val="auto"/>
        </w:rPr>
        <w:t>. The Companies Act permits mergers and consolidations between Cayman Islands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02" w:lineRule="exact"/>
        <w:rPr>
          <w:sz w:val="20"/>
          <w:szCs w:val="20"/>
          <w:color w:val="auto"/>
        </w:rPr>
      </w:pPr>
    </w:p>
    <w:p>
      <w:pPr>
        <w:ind w:left="120" w:right="420" w:firstLine="551"/>
        <w:spacing w:after="0" w:line="246"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214.1</w:t>
      </w:r>
    </w:p>
    <w:p>
      <w:pPr>
        <w:sectPr>
          <w:pgSz w:w="11900" w:h="16838" w:orient="portrait"/>
          <w:cols w:equalWidth="0" w:num="1">
            <w:col w:w="10960"/>
          </w:cols>
          <w:pgMar w:left="320" w:top="459" w:right="61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203"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97"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13" w:lineRule="exact"/>
        <w:rPr>
          <w:sz w:val="20"/>
          <w:szCs w:val="20"/>
          <w:color w:val="auto"/>
        </w:rPr>
      </w:pPr>
    </w:p>
    <w:p>
      <w:pPr>
        <w:ind w:left="880" w:hanging="224"/>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17"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02"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Act.</w:t>
      </w:r>
    </w:p>
    <w:p>
      <w:pPr>
        <w:spacing w:after="0" w:line="21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205"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3" w:lineRule="exact"/>
        <w:rPr>
          <w:sz w:val="20"/>
          <w:szCs w:val="20"/>
          <w:color w:val="auto"/>
        </w:rPr>
      </w:pPr>
    </w:p>
    <w:p>
      <w:pPr>
        <w:ind w:left="120" w:right="220" w:firstLine="551"/>
        <w:spacing w:after="0" w:line="271" w:lineRule="auto"/>
        <w:rPr>
          <w:sz w:val="20"/>
          <w:szCs w:val="20"/>
          <w:color w:val="auto"/>
        </w:rPr>
      </w:pPr>
      <w:r>
        <w:rPr>
          <w:rFonts w:ascii="Arial" w:cs="Arial" w:eastAsia="Arial" w:hAnsi="Arial"/>
          <w:sz w:val="18"/>
          <w:szCs w:val="18"/>
          <w:b w:val="1"/>
          <w:bCs w:val="1"/>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rule a derivative action may not be brought by a minority</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10" w:lineRule="exact"/>
        <w:rPr>
          <w:sz w:val="20"/>
          <w:szCs w:val="20"/>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17"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90"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b w:val="1"/>
          <w:bCs w:val="1"/>
          <w:i w:val="1"/>
          <w:iCs w:val="1"/>
          <w:color w:val="auto"/>
        </w:rPr>
        <w:t>Indemnification of Directors and Executive Officers and Limitation of Liability</w:t>
      </w:r>
      <w:r>
        <w:rPr>
          <w:rFonts w:ascii="Arial" w:cs="Arial" w:eastAsia="Arial" w:hAnsi="Arial"/>
          <w:sz w:val="18"/>
          <w:szCs w:val="18"/>
          <w:color w:val="auto"/>
        </w:rPr>
        <w:t>. Cayman Islands law does not limit the extent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208"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In addition, we have entered into indemnification agreements with our directors and executive officers that provide such persons with additional indemnification beyond that provided in our post-offering memorandum and articles of association.</w:t>
      </w:r>
    </w:p>
    <w:p>
      <w:pPr>
        <w:spacing w:after="0" w:line="19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b w:val="1"/>
          <w:bCs w:val="1"/>
          <w:i w:val="1"/>
          <w:iCs w:val="1"/>
          <w:color w:val="auto"/>
        </w:rPr>
        <w:t>Directors’ Fiduciary Duties</w:t>
      </w:r>
      <w:r>
        <w:rPr>
          <w:rFonts w:ascii="Arial" w:cs="Arial" w:eastAsia="Arial" w:hAnsi="Arial"/>
          <w:sz w:val="18"/>
          <w:szCs w:val="18"/>
          <w:color w:val="auto"/>
        </w:rPr>
        <w:t>. Under Delaware corporate law, a director of a Delaware corporation has a fiduciary duty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b w:val="1"/>
          <w:bCs w:val="1"/>
          <w:i w:val="1"/>
          <w:iCs w:val="1"/>
          <w:color w:val="auto"/>
        </w:rPr>
        <w:t>Shareholder Action by Written Consent</w:t>
      </w:r>
      <w:r>
        <w:rPr>
          <w:rFonts w:ascii="Arial" w:cs="Arial" w:eastAsia="Arial" w:hAnsi="Arial"/>
          <w:sz w:val="18"/>
          <w:szCs w:val="18"/>
          <w:color w:val="auto"/>
        </w:rPr>
        <w:t>. Under the Delaware General Corporation Law, a corporation may eliminate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shareholders to act by written consent by amendment to its certificate of incorporation. Cayman Islands law and our post-offering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b w:val="1"/>
          <w:bCs w:val="1"/>
          <w:i w:val="1"/>
          <w:iCs w:val="1"/>
          <w:color w:val="auto"/>
        </w:rPr>
        <w:t>Shareholder Proposals</w:t>
      </w:r>
      <w:r>
        <w:rPr>
          <w:rFonts w:ascii="Arial" w:cs="Arial" w:eastAsia="Arial" w:hAnsi="Arial"/>
          <w:sz w:val="18"/>
          <w:szCs w:val="18"/>
          <w:color w:val="auto"/>
        </w:rPr>
        <w:t>. Under the Delaware General Corporation Law, a shareholder has the right to put any proposal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annual meeting of shareholders,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96"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post-offering memorandum and articles of association allow any one or more of our shareholders holding shares which carry in aggregate not less than one-third of the total number votes attaching to all issued and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memorandum and articles of association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185"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b w:val="1"/>
          <w:bCs w:val="1"/>
          <w:i w:val="1"/>
          <w:iCs w:val="1"/>
          <w:color w:val="auto"/>
        </w:rPr>
        <w:t>Cumulative Voting</w:t>
      </w:r>
      <w:r>
        <w:rPr>
          <w:rFonts w:ascii="Arial" w:cs="Arial" w:eastAsia="Arial" w:hAnsi="Arial"/>
          <w:sz w:val="18"/>
          <w:szCs w:val="18"/>
          <w:color w:val="auto"/>
        </w:rPr>
        <w:t>. Under the Delaware General Corporation Law, cumulative voting for elections of directors is not permitted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memorandum and articles of association do not provide for cumulative voting. As a result, our shareholders are not afforded any less protections or rights on this issue than shareholders of a Delaware corporation.</w:t>
      </w:r>
    </w:p>
    <w:p>
      <w:pPr>
        <w:spacing w:after="0" w:line="185"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Under the Delaware General Corporation Law, a director of a corporation with a classified board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removed only for cause with the approval of a majority of</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the issued and outstanding shares entitled to vote, unless the certificate of incorporation provides otherwise. Under our post-offering memorandum and articles of association, directors may be removed with or without cause, by an ordinary resolution of our shareholders.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83"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b w:val="1"/>
          <w:bCs w:val="1"/>
          <w:i w:val="1"/>
          <w:iCs w:val="1"/>
          <w:color w:val="auto"/>
        </w:rPr>
        <w:t>Transactions with Interested Shareholders</w:t>
      </w:r>
      <w:r>
        <w:rPr>
          <w:rFonts w:ascii="Arial" w:cs="Arial" w:eastAsia="Arial" w:hAnsi="Arial"/>
          <w:sz w:val="18"/>
          <w:szCs w:val="18"/>
          <w:color w:val="auto"/>
        </w:rPr>
        <w:t>. The Delaware General Corporation Law contains a business combination statute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 -tiered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02" w:lineRule="exact"/>
        <w:rPr>
          <w:sz w:val="20"/>
          <w:szCs w:val="20"/>
          <w:color w:val="auto"/>
        </w:rPr>
      </w:pPr>
    </w:p>
    <w:p>
      <w:pPr>
        <w:jc w:val="both"/>
        <w:ind w:left="120" w:right="60" w:firstLine="551"/>
        <w:spacing w:after="0" w:line="238"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3"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b w:val="1"/>
          <w:bCs w:val="1"/>
          <w:i w:val="1"/>
          <w:iCs w:val="1"/>
          <w:color w:val="auto"/>
        </w:rPr>
        <w:t>Dissolution; Winding up</w:t>
      </w:r>
      <w:r>
        <w:rPr>
          <w:rFonts w:ascii="Arial" w:cs="Arial" w:eastAsia="Arial" w:hAnsi="Arial"/>
          <w:sz w:val="18"/>
          <w:szCs w:val="18"/>
          <w:color w:val="auto"/>
        </w:rPr>
        <w:t>. Under the Delaware General Corporation Law, unless the board of directors approves the proposal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9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8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b w:val="1"/>
          <w:bCs w:val="1"/>
          <w:i w:val="1"/>
          <w:iCs w:val="1"/>
          <w:color w:val="auto"/>
        </w:rPr>
        <w:t>Variations of Rights of Shares</w:t>
      </w:r>
      <w:r>
        <w:rPr>
          <w:rFonts w:ascii="Arial" w:cs="Arial" w:eastAsia="Arial" w:hAnsi="Arial"/>
          <w:sz w:val="18"/>
          <w:szCs w:val="18"/>
          <w:color w:val="auto"/>
        </w:rPr>
        <w:t>. Under the Delaware General Corporation Law, a corporation may vary the rights of a class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with the approval of a majority of the outstanding shares of such class, unless the certificate of incorporation provides otherwise. Under our post-offering memorandum and articles of association, if our share capital is divided into more than one class of shares, the rights attached to any such class may, subject to any rights or restrictions for the time being attached to any class, only be varied with the consent in writing of the holders of at least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80"/>
          </w:cols>
          <w:pgMar w:left="320" w:top="459"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restrictions for the time being attached to the shares of that class, be deemed to be varied by the creation, allotment or issue of further shares ranking pari passu with or subsequent to them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83"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b w:val="1"/>
          <w:bCs w:val="1"/>
          <w:i w:val="1"/>
          <w:iCs w:val="1"/>
          <w:color w:val="auto"/>
        </w:rPr>
        <w:t>Amendment of Governing Documents</w:t>
      </w:r>
      <w:r>
        <w:rPr>
          <w:rFonts w:ascii="Arial" w:cs="Arial" w:eastAsia="Arial" w:hAnsi="Arial"/>
          <w:sz w:val="18"/>
          <w:szCs w:val="18"/>
          <w:color w:val="auto"/>
        </w:rPr>
        <w:t>. Under the Delaware General Corporation Law, a corporation’s governing documents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amended with the approval of a majority of the outstanding shares entitled to vote, unless the certificate of incorporation provides otherwise. Under the Companies Act and our post-offering memorandum and articles of association, our memorandum and articles of association may only be amended by a special resolution of our shareholders.</w:t>
      </w:r>
    </w:p>
    <w:p>
      <w:pPr>
        <w:spacing w:after="0" w:line="174" w:lineRule="exact"/>
        <w:rPr>
          <w:sz w:val="20"/>
          <w:szCs w:val="20"/>
          <w:color w:val="auto"/>
        </w:rPr>
      </w:pPr>
    </w:p>
    <w:p>
      <w:pPr>
        <w:jc w:val="both"/>
        <w:ind w:left="120" w:right="420" w:firstLine="551"/>
        <w:spacing w:after="0" w:line="247" w:lineRule="auto"/>
        <w:rPr>
          <w:sz w:val="20"/>
          <w:szCs w:val="20"/>
          <w:color w:val="auto"/>
        </w:rPr>
      </w:pPr>
      <w:r>
        <w:rPr>
          <w:rFonts w:ascii="Arial" w:cs="Arial" w:eastAsia="Arial" w:hAnsi="Arial"/>
          <w:sz w:val="18"/>
          <w:szCs w:val="18"/>
          <w:b w:val="1"/>
          <w:bCs w:val="1"/>
          <w:i w:val="1"/>
          <w:iCs w:val="1"/>
          <w:color w:val="auto"/>
        </w:rPr>
        <w:t>Rights of Non-resident or Foreign Shareholders</w:t>
      </w:r>
      <w:r>
        <w:rPr>
          <w:rFonts w:ascii="Arial" w:cs="Arial" w:eastAsia="Arial" w:hAnsi="Arial"/>
          <w:sz w:val="18"/>
          <w:szCs w:val="18"/>
          <w:color w:val="auto"/>
        </w:rPr>
        <w:t>. There are no limitations imposed by our post-offering memorandum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articles of association on the rights of non-resident or foreign shareholders to hold or exercise voting rights on our shares. In addition, there are no provisions in our post-offering memorandum and articles of association governing the ownership threshold above which shareholder ownership must be disclosed.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of Securities Issuances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Follow-on Series C-3 Preferred Shares</w:t>
      </w:r>
    </w:p>
    <w:p>
      <w:pPr>
        <w:spacing w:after="0" w:line="122" w:lineRule="exact"/>
        <w:rPr>
          <w:sz w:val="20"/>
          <w:szCs w:val="20"/>
          <w:color w:val="auto"/>
        </w:rPr>
      </w:pPr>
    </w:p>
    <w:p>
      <w:pPr>
        <w:ind w:left="120" w:right="160" w:firstLine="551"/>
        <w:spacing w:after="0" w:line="274" w:lineRule="auto"/>
        <w:rPr>
          <w:sz w:val="20"/>
          <w:szCs w:val="20"/>
          <w:color w:val="auto"/>
        </w:rPr>
      </w:pPr>
      <w:r>
        <w:rPr>
          <w:rFonts w:ascii="Arial" w:cs="Arial" w:eastAsia="Arial" w:hAnsi="Arial"/>
          <w:sz w:val="17"/>
          <w:szCs w:val="17"/>
          <w:color w:val="auto"/>
        </w:rPr>
        <w:t>On June 26, 2018, we entered into a Follow-on Series C-3 Preferred Share Purchase Agreement with Euro Eco Limited, pursuant to which we issued 1,884,512 Series C-3 preferred shares to Euro Eco Limited on June 26, 2018 for a purchase price of US$5,000,000.</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D Preferred Shares</w:t>
      </w:r>
    </w:p>
    <w:p>
      <w:pPr>
        <w:spacing w:after="0" w:line="12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July 5, 2018, we entered into a Series D Preferred Share Purchase Agreement with JD.com Development Limited and Internet Fund IV Pte. Ltd. Pursuant to the agreement, we issued on July 5, 2018 (i) 2,115,755 Series D-1 preferred shares to JD.com Development Limited for a purchase price of US$22,917,594, and (ii) 7,952,405 Series D-2 preferred shares to Internet Fund IV Pte. Ltd. for a purchase price of US$101,340,522.</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First Conversion of Series C-3 Convertible Loans</w:t>
      </w:r>
    </w:p>
    <w:p>
      <w:pPr>
        <w:spacing w:after="0" w:line="12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On December 7, 2018, as a result of certain Series C-3 convertible loan investors’ election to convert the loans they extended to us during Series C-3 round of financing into Series C-3 preferred shares, we issued (i) 1,691,535 Series C-3 preferred shares to Qianhai Ark (Cayman) Investment Co. Limited for a purchase price of US$ equivalent of RMB30,000,000, (ii) 5,564,491 Series C-3 preferred shares to JD.com Development Limited for a purchase price of US$ equivalent of RMB98,688,292, and (iii) 563,845 Series C-3 preferred shares to YYT Capital Inc. for a purchase price of US$ equivalent of RMB10,000,000.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E Preferred Shares</w:t>
      </w:r>
    </w:p>
    <w:p>
      <w:pPr>
        <w:spacing w:after="0" w:line="12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On June 3, 2019, we entered into Series E Preferred Share Purchase Agreements with six investors. Pursuant to the agreements, we issued:</w:t>
      </w:r>
    </w:p>
    <w:p>
      <w:pPr>
        <w:spacing w:after="0" w:line="98" w:lineRule="exact"/>
        <w:rPr>
          <w:sz w:val="20"/>
          <w:szCs w:val="20"/>
          <w:color w:val="auto"/>
        </w:rPr>
      </w:pPr>
    </w:p>
    <w:p>
      <w:pPr>
        <w:ind w:left="880" w:hanging="224"/>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June 3, 2019, (i) 560,410 Series E preferred shares to Generation Mu HK Investment Limited for a purchase price of</w:t>
      </w:r>
    </w:p>
    <w:p>
      <w:pPr>
        <w:jc w:val="both"/>
        <w:ind w:left="880" w:right="100"/>
        <w:spacing w:after="0"/>
        <w:rPr>
          <w:rFonts w:ascii="Arial" w:cs="Arial" w:eastAsia="Arial" w:hAnsi="Arial"/>
          <w:sz w:val="18"/>
          <w:szCs w:val="18"/>
          <w:color w:val="auto"/>
        </w:rPr>
      </w:pPr>
      <w:r>
        <w:rPr>
          <w:rFonts w:ascii="Arial" w:cs="Arial" w:eastAsia="Arial" w:hAnsi="Arial"/>
          <w:sz w:val="18"/>
          <w:szCs w:val="18"/>
          <w:color w:val="auto"/>
        </w:rPr>
        <w:t>US$10,000,000, (ii) 560,410 Series E preferred shares to Internet Fund IV Pte. Ltd. for a purchase price of US$10,000,000, and (iii) 27,500,098 Series E preferred shares to JD.com Development Limited, in exchange for JD Group’s Paipai business, certain exclusive traffic resources, and a cash consideration of US$20,114,688;</w:t>
      </w:r>
    </w:p>
    <w:p>
      <w:pPr>
        <w:spacing w:after="0" w:line="108"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August 16, 2019, we issued 280,205 Series E preferred shares to Tiantu China Consumer Fund II, L.P. for a purchase price of US$5,000,000;</w:t>
      </w:r>
    </w:p>
    <w:p>
      <w:pPr>
        <w:spacing w:after="0" w:line="102" w:lineRule="exact"/>
        <w:rPr>
          <w:rFonts w:ascii="Arial" w:cs="Arial" w:eastAsia="Arial" w:hAnsi="Arial"/>
          <w:sz w:val="18"/>
          <w:szCs w:val="18"/>
          <w:color w:val="auto"/>
        </w:rPr>
      </w:pPr>
    </w:p>
    <w:p>
      <w:pPr>
        <w:ind w:left="880" w:right="860" w:hanging="224"/>
        <w:spacing w:after="0" w:line="24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August 24, 2019, we issued 280,205 Series E preferred shares to Fresh Capital Fund I, L.P. for a purchase price of US$5,000,000; and</w:t>
      </w:r>
    </w:p>
    <w:p>
      <w:pPr>
        <w:spacing w:after="0" w:line="102"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September 16, 2019, we issued 840,614 Series E preferred shares to Morningside China TMT Fund II, L.P. for a purchase price of US$15,000,000.</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Follow-on Series E Preferred Shares</w:t>
      </w:r>
    </w:p>
    <w:p>
      <w:pPr>
        <w:spacing w:after="0" w:line="122"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On September 4, 2020, we entered into a Follow-on Series E Preferred Share Purchase Agreement, or Series E Follow-on SPA, with five investors, including three RMB investors. Pursuant to the agreement, we issued:</w:t>
      </w:r>
    </w:p>
    <w:p>
      <w:pPr>
        <w:spacing w:after="0" w:line="102" w:lineRule="exact"/>
        <w:rPr>
          <w:sz w:val="20"/>
          <w:szCs w:val="20"/>
          <w:color w:val="auto"/>
        </w:rPr>
      </w:pPr>
    </w:p>
    <w:p>
      <w:pPr>
        <w:ind w:left="880" w:right="120" w:hanging="224"/>
        <w:spacing w:after="0" w:line="246"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September 9, 2020, 1,401,024 Series E preferred shares to Guotai Junan Finance (Hong Kong) Limited for a purchase price of US$25,000,000; and</w:t>
      </w:r>
    </w:p>
    <w:p>
      <w:pPr>
        <w:spacing w:after="0" w:line="102" w:lineRule="exact"/>
        <w:rPr>
          <w:rFonts w:ascii="Arial" w:cs="Arial" w:eastAsia="Arial" w:hAnsi="Arial"/>
          <w:sz w:val="18"/>
          <w:szCs w:val="18"/>
          <w:color w:val="auto"/>
        </w:rPr>
      </w:pPr>
    </w:p>
    <w:p>
      <w:pPr>
        <w:ind w:left="880" w:right="920" w:hanging="224"/>
        <w:spacing w:after="0" w:line="246"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on September 14, 2020, 2,802,048 Series E preferred shares to JD.com Development Limited for a purchase price of US$50,000,000.</w:t>
      </w:r>
    </w:p>
    <w:p>
      <w:pPr>
        <w:spacing w:after="0" w:line="197"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Upon the closing of the transaction with the three RMB investors, we would issue (i) 282,623 Series E preferred shares to Tianjin Huihe Haihe Intelligent Logistics Industry Fund Partnership (Limited Partnership), or Huihe Haihe, for a purchase price of US$ equivalent of RMB35,000,000, (ii) 403,747 Series E preferred shares to Shanghai Zhengmu Investment Center (Limited Partnership), or Zhengmu, for a purchase price of US$ equivalent of RMB50,000,000, and (iii) 403,747 Series E preferred shares to Ningbo Qingyu Investment Management Co., Ltd., or Qingyu, for a purchase price of US$ equivalent of RMB50,000,000.</w:t>
      </w:r>
    </w:p>
    <w:p>
      <w:pPr>
        <w:spacing w:after="0" w:line="20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On November 19, 2020, an additional RMB investor, Zibo Minsheng Ouming Equity Investment Partnership (Limited Partnership), or Minsheng, entered into an amendment agreement to the Series E Follow-on SPA, with all parties to the Series E Follow-on SPA. Pursuant to the amendment agreement, upon the closing of the transaction, we would issue 807,494 Series E preferred shares to Minsheng for a purchase price of US$ equivalent of RMB100,000,000.</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Follow-on Series E Convertible Loans</w:t>
      </w:r>
    </w:p>
    <w:p>
      <w:pPr>
        <w:spacing w:after="0" w:line="122"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On September 4, 2020, we also entered into a convertible loan agreement with each of the three RMB investors that entered into the Series E Follow-on SPA with us on the same day. Pursuant to the three convertible loan agreements, (i) Huihe Haihe extended a loan of RMB35,000,000 to us, (ii) Zhengmu extended a loan of RMB50,000,000 to us, and (iii) Qingyu extended a loan of RMB50,000,000 to us. We are obligated to repay such loans within 30 days after each corresponding RMB investor obtains relevant PRC government authorities’ approval for its follow-on Series E investment in our company pursuant to the Series E Follow-on SPA.</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firstLine="551"/>
        <w:spacing w:after="0" w:line="238" w:lineRule="auto"/>
        <w:rPr>
          <w:sz w:val="20"/>
          <w:szCs w:val="20"/>
          <w:color w:val="auto"/>
        </w:rPr>
      </w:pPr>
      <w:r>
        <w:rPr>
          <w:rFonts w:ascii="Arial" w:cs="Arial" w:eastAsia="Arial" w:hAnsi="Arial"/>
          <w:sz w:val="18"/>
          <w:szCs w:val="18"/>
          <w:color w:val="auto"/>
        </w:rPr>
        <w:t>On November 19, 2020, the same day on which we entered into the amendment agreement with Minsheng, we also entered into a convertible loan agreement with Minsheng. Pursuant to the convertible loan agreement, Minsheng to extended a loan of RMB100,000,000 to us and we are obligated to repay such loan within 30 days after Minsheng obtains relevant PRC government authorities’ approval for its follow-on Series E investment in our company pursuant to the amendment agreement.</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 Conversion of Series C-3 Convertible Loans</w:t>
      </w:r>
    </w:p>
    <w:p>
      <w:pPr>
        <w:spacing w:after="0" w:line="12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February 8, 2021, as a result of a few additional Series C-3 convertible loan investors’ election to convert the loans they extended to us during Series C-3 round of financing into Series C-3 preferred shares, we issued (i) 1,884,511 Series C-3 preferred shares to Shanghai Chenxi Venture Capital Center (Limited Partnership) for a purchase price of US$ equivalent of RMB33,422,500, (ii) 3,383,070 Series C-3 preferred shares to Shenzhen Tiantu Xingli Investment Enterprise (Limited Partnership) for a purchase price of US$ equivalent of RMB60,000,000, and (iii) 563,845 Series C-3 preferred shares to Shanghai Jinglin Jinghui Equity Investment Center (Limited Partnership) for a purchase price of US$ equivalent of RMB10,000,000.</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Replacement of Certain Series C-3 Preferred Shares Issued in the First Conversion of Series C-3 Convertible Loans</w:t>
      </w:r>
    </w:p>
    <w:p>
      <w:pPr>
        <w:spacing w:after="0" w:line="12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On February 8, 2021, we issued 1,262,446 Series C-3 preferred shares to Qianhai Fund of Fund Equity Investment (Shenzhen) Co., Ltd., or Qianhai FoF, for a purchase price of US$ equivalent of RMB22,389,948 and, at the same time, repurchased from Qianhai Ark (Cayman) Investment Co. Limited, an offshore affiliate of Qianhai FoF, the same amount of Series C-3 preferred shares we issued to it on December 7, 2018 upon the first conversion of Series C-3 convertible loans, at the same price.</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First Conversion of Follow-on Series E Convertible Loans</w:t>
      </w:r>
    </w:p>
    <w:p>
      <w:pPr>
        <w:spacing w:after="0" w:line="12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On February 8, 2021, Zhengmu, a follow-on Series E convertible loan investor, elected to convert the loan it extended to us during follow-on Series E round of financing into Series E preferred shares, and we issued 403,747 Series E preferred shares to Refresher Limited, an offshore affiliate of Zhengmu, for a purchase price of US$ equivalent of RMB50,000,000. Upon the completion of this issuance, our transaction with Zhengmu contemplated under the Series E Follow-on SPA was also closed.</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Third Conversion of Series C-3 Convertible Loans</w:t>
      </w:r>
    </w:p>
    <w:p>
      <w:pPr>
        <w:spacing w:after="0" w:line="12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April and May 2020, the last two remaining Series C-3 convertible loan investors’ election to convert the loans they extended to us into Series C-3 preferred shares. As a result, we issued (i) 2,255,380 Series C-3 preferred shares to Shou Bainian for a purchase price of US$ equivalent of RMB40,000,000 on April 28, 2021; and (ii) 2,819,225 Series C-3 preferred shares to Shanghai Liange Enterprise management Partnership (Limited Partners) for a purchase price of US$ equivalent of RMB50,000,000 on May 25, 2021.</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Second Conversion of Follow-on Series E Convertible Loans</w:t>
      </w:r>
    </w:p>
    <w:p>
      <w:pPr>
        <w:spacing w:after="0" w:line="122"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On May 25, 2021, the remaining three Series E convertible loan investors, Huihe Haihe, Qingyu and Minsheng, elected to convert the loans they extended to us during follow-on Series E round of financing into Series E preferred shares. As a result, we issued on May 25, 2021 (i) 282,623 Series E preferred shares to Huihe Haihe for a purchase price of US$ equivalent of RMB35,000,000,</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hanging="4"/>
        <w:spacing w:after="0" w:line="238" w:lineRule="auto"/>
        <w:tabs>
          <w:tab w:leader="none" w:pos="37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403,747 Series E preferred shares to Shanghai Qihuai Enterprise Management Partnership (Limited Partnership), a PRC affiliate of Qingyu, for a purchase price of US$ equivalent of RMB50,000,000, and (iii) 807,494 Series E preferred shares to Bourgeon Inc, an offshore affiliate of Minsheng, for a purchase price of US$ equivalent of RMB100,000,000. Upon the completion of these share issuance, our transactions with Huihe Haihe, Qingyu and Minsheng under the Series E Follow-on SPA were closed.</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Series F Preferred Shares, Series C-3 Preferred Shares and Ordinary Shares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16, 2021, we entered into a share purchase agreement with eight investors. Pursuant to the share purchase agreement.</w:t>
      </w:r>
    </w:p>
    <w:p>
      <w:pPr>
        <w:ind w:left="120"/>
        <w:spacing w:after="0"/>
        <w:rPr>
          <w:sz w:val="20"/>
          <w:szCs w:val="20"/>
          <w:color w:val="auto"/>
        </w:rPr>
      </w:pPr>
      <w:r>
        <w:rPr>
          <w:rFonts w:ascii="Arial" w:cs="Arial" w:eastAsia="Arial" w:hAnsi="Arial"/>
          <w:sz w:val="18"/>
          <w:szCs w:val="18"/>
          <w:color w:val="auto"/>
        </w:rPr>
        <w:t>Pursuant to the agreement, we issued:</w:t>
      </w:r>
    </w:p>
    <w:p>
      <w:pPr>
        <w:spacing w:after="0" w:line="113" w:lineRule="exact"/>
        <w:rPr>
          <w:sz w:val="20"/>
          <w:szCs w:val="20"/>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April 28, 2021 to Tiger Pacific Master Fund LP (i) 720,439 Series F preferred shares for a consideration of US$14,000,000;</w:t>
      </w:r>
    </w:p>
    <w:p>
      <w:pPr>
        <w:ind w:left="880" w:right="20" w:hanging="8"/>
        <w:spacing w:after="0" w:line="246" w:lineRule="auto"/>
        <w:tabs>
          <w:tab w:leader="none" w:pos="113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225,538 Series C-3 preferred shares for a consideration of US$3,506,233; (iii) 160,412 ordinary shares for a consideration of US$2,493,767;</w:t>
      </w:r>
    </w:p>
    <w:p>
      <w:pPr>
        <w:spacing w:after="0" w:line="97"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April 28, 2021 to Yiheng Capital Partners, L.P. (i) 720,439 Series F preferred shares for a consideration of US$14,000,000;</w:t>
      </w:r>
    </w:p>
    <w:p>
      <w:pPr>
        <w:ind w:left="880" w:right="1000" w:hanging="8"/>
        <w:spacing w:after="0" w:line="246" w:lineRule="auto"/>
        <w:tabs>
          <w:tab w:leader="none" w:pos="113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225,538 Series C-3 preferred shares for a consideration of US$3,506,233; and (iii) 160,411 ordinary shares for a consideration of US$2,493,767;</w:t>
      </w:r>
    </w:p>
    <w:p>
      <w:pPr>
        <w:spacing w:after="0" w:line="102" w:lineRule="exact"/>
        <w:rPr>
          <w:rFonts w:ascii="Arial" w:cs="Arial" w:eastAsia="Arial" w:hAnsi="Arial"/>
          <w:sz w:val="18"/>
          <w:szCs w:val="18"/>
          <w:color w:val="auto"/>
        </w:rPr>
      </w:pPr>
    </w:p>
    <w:p>
      <w:pPr>
        <w:ind w:left="880" w:right="6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April 28, 2021 to Pluto Connection Limited (i) 1,801,097 Series F preferred shares for a consideration of US$35,000,000; (ii) 563,845 Series C-3 preferred shares for a consideration of US$8,765,581; (iii) 401,028 ordinary shares for a consideration of US$6,234,419;</w:t>
      </w:r>
    </w:p>
    <w:p>
      <w:pPr>
        <w:spacing w:after="0" w:line="108" w:lineRule="exact"/>
        <w:rPr>
          <w:rFonts w:ascii="Arial" w:cs="Arial" w:eastAsia="Arial" w:hAnsi="Arial"/>
          <w:sz w:val="18"/>
          <w:szCs w:val="18"/>
          <w:color w:val="auto"/>
        </w:rPr>
      </w:pPr>
    </w:p>
    <w:p>
      <w:pPr>
        <w:jc w:val="both"/>
        <w:ind w:left="880" w:right="12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April 30, 2021 to Being Capital Fund I LP (i) 1,080,658 Series F preferred shares for a consideration of US$21,000,000; (ii) 338,307 Series C-3 preferred shares for a consideration of US$5,259,349; and (iii) 240,617 ordinary shares for a consideration of US$3,740,651;</w:t>
      </w:r>
    </w:p>
    <w:p>
      <w:pPr>
        <w:spacing w:after="0" w:line="103"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April 30, 2021 to JD.com Development Limited (i) 720,439 Series F preferred shares for a consideration of US$14,000,000;</w:t>
      </w:r>
    </w:p>
    <w:p>
      <w:pPr>
        <w:ind w:left="880" w:right="20" w:hanging="8"/>
        <w:spacing w:after="0" w:line="246" w:lineRule="auto"/>
        <w:tabs>
          <w:tab w:leader="none" w:pos="113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225,538 Series C-3 preferred shares for a consideration of US$3,506,233; (iii) 160,411 ordinary shares for a consideration of US$2,493,767;</w:t>
      </w:r>
    </w:p>
    <w:p>
      <w:pPr>
        <w:spacing w:after="0" w:line="102" w:lineRule="exact"/>
        <w:rPr>
          <w:rFonts w:ascii="Arial" w:cs="Arial" w:eastAsia="Arial" w:hAnsi="Arial"/>
          <w:sz w:val="18"/>
          <w:szCs w:val="18"/>
          <w:color w:val="auto"/>
        </w:rPr>
      </w:pPr>
    </w:p>
    <w:p>
      <w:pPr>
        <w:ind w:left="880" w:right="20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April 30, 2021 to Internet Fund IV Pte. Ltd. (i) 900,548 Series F preferred shares for a consideration of US$17,500,000; (ii) 281,923 Series C-3 preferred shares for a consideration of US$4,382,791; (iii) 200,514 ordinary shares for a consideration of US$3,117,209;</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May 5, 2021 to Design Time Limited (i) 720,439 Series F preferred shares for a consideration of US$14,000,000; (ii) 225,538 Series C-3 preferred shares for a consideration of US$3,506,233; (iii) 160,411 ordinary shares for a consideration of US$2,493,767; and</w:t>
      </w:r>
    </w:p>
    <w:p>
      <w:pPr>
        <w:spacing w:after="0" w:line="103" w:lineRule="exact"/>
        <w:rPr>
          <w:rFonts w:ascii="Arial" w:cs="Arial" w:eastAsia="Arial" w:hAnsi="Arial"/>
          <w:sz w:val="18"/>
          <w:szCs w:val="18"/>
          <w:color w:val="auto"/>
        </w:rPr>
      </w:pPr>
    </w:p>
    <w:p>
      <w:pPr>
        <w:ind w:left="88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May 12, 2021 to Tian Zhan Investment Limited (i) 540,329 Series F preferred shares for a consideration of US$10,500,000;</w:t>
      </w:r>
    </w:p>
    <w:p>
      <w:pPr>
        <w:ind w:left="880" w:right="1000" w:hanging="8"/>
        <w:spacing w:after="0" w:line="246" w:lineRule="auto"/>
        <w:tabs>
          <w:tab w:leader="none" w:pos="113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169,153 Series C-3 preferred shares for a consideration of US$2,629,674; and (iii) 120,309 ordinary shares for a consideration of US$1,870,326.</w:t>
      </w:r>
    </w:p>
    <w:p>
      <w:pPr>
        <w:spacing w:after="0" w:line="19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On May 25, 2021, we entered into a share purchase agreement with Cosmic Blue Investments Limited, a wholly-owned subsidiary of Kuaishou. Pursuant to the share purchase agreement, we issued to Cosmic Blue Investments Limited 2,572,995 Series F preferred shares on May 25, 2021 for a consideration of US$50,000,000 in the form of cash and business resources.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On February 8, 2021, we issued 992,513 ordinary shares to Shanghai Jinglin Jinghui Equity Investment Center (Limited Partnership), or Shanghai Jinglin, after C&amp;XF Group Limited, Mr. Kerry Xuefeng Chen’s BVI holding company, transferred us the same amount of ordinary shares on the same day. This arrangement was made to realize a transfer of 992,513 ordinary shares from Mr. Kerry Xuefeng Chen to Shanghai Jinglin contemplated under a share transfer agreement between the two</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60"/>
          </w:cols>
          <w:pgMar w:left="320" w:top="459" w:right="5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shareholders. Instead of a direct transfer between the two shareholders, this arrangement was made to facilitate Shanghai Jinglin’s obtaining of the approval from relevant PRC government authorities for investing in the Company’s shares.</w:t>
      </w:r>
    </w:p>
    <w:p>
      <w:pPr>
        <w:spacing w:after="0" w:line="197"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will issue to several investors certain amounts of ordinary shares pursuant to a share purchase agreement entered into on April 20, 2021. See “—History of Securities Issuance—Preferred Shares—Series F Preferred Shares, Series C-3 Preferred Shares and Ordinary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On December 9, 2020, we issued to InnoVen Capital China Pte. Ltd. a warrant to subscribe for up to US$1,000,000 worth of Series E preferred shares at the subscription price set forth in the Warrants Instrument executed by us. On May 12, 2021, as a result of InnoVen Capital China Pte. Ltd.’s election to exercise the warrant in full, we issued to it 56,041 Series E preferred shares at a purchase price of US$1,000,000.</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May 10, 2021, we issued to China Equities HK Limited a warrant to subscribe for 153,570 ordinary shares of our company at an exercise price of US$2.65 per share, subject to certain price adjustments as set forth in the warrant. The warrant will expire on May 10, 2025.</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 and Restricted Share Units</w:t>
      </w:r>
    </w:p>
    <w:p>
      <w:pPr>
        <w:spacing w:after="0" w:line="126" w:lineRule="exact"/>
        <w:rPr>
          <w:sz w:val="20"/>
          <w:szCs w:val="20"/>
          <w:color w:val="auto"/>
        </w:rPr>
      </w:pPr>
    </w:p>
    <w:p>
      <w:pPr>
        <w:ind w:left="120" w:right="700" w:firstLine="551"/>
        <w:spacing w:after="0" w:line="246" w:lineRule="auto"/>
        <w:rPr>
          <w:sz w:val="20"/>
          <w:szCs w:val="20"/>
          <w:color w:val="auto"/>
        </w:rPr>
      </w:pPr>
      <w:r>
        <w:rPr>
          <w:rFonts w:ascii="Arial" w:cs="Arial" w:eastAsia="Arial" w:hAnsi="Arial"/>
          <w:sz w:val="18"/>
          <w:szCs w:val="18"/>
          <w:color w:val="auto"/>
        </w:rPr>
        <w:t>We have granted options to purchase our ordinary shares and restricted share units to certain of our directors, officers and employees. See “Management—Share Incentive Plan.”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Agreement</w:t>
      </w:r>
    </w:p>
    <w:p>
      <w:pPr>
        <w:spacing w:after="0" w:line="234"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7"/>
          <w:szCs w:val="17"/>
          <w:color w:val="auto"/>
        </w:rPr>
        <w:t>We entered into the eighth amended and restated shareholders agreement on April 16, 2021 with our shareholders, which consist of holders of ordinary shares and preferred shares. The new shareholder of our company after April 16, 2021 entered into a joinder agreement with us and became a party to the shareholders agreement dated April 16, 2021. The eighth amended and restated shareholders agreement provides for certain investors’ rights, including information and inspection rights, registration rights, right of participation, right of first refusal, co-sale right, right of drag-along, and contains provisions relating to composition of our board of directors, certain corporate governance matters and shareholder approvals. Most of these special rights will automatically terminate upon the completion of this offering. Below is a summary of certain shareholders’ special rights that will survive the completion of this offering.</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26" w:lineRule="exact"/>
        <w:rPr>
          <w:sz w:val="20"/>
          <w:szCs w:val="20"/>
          <w:color w:val="auto"/>
        </w:rPr>
      </w:pPr>
    </w:p>
    <w:p>
      <w:pPr>
        <w:ind w:left="120" w:right="340" w:firstLine="551"/>
        <w:spacing w:after="0" w:line="246" w:lineRule="auto"/>
        <w:rPr>
          <w:sz w:val="20"/>
          <w:szCs w:val="20"/>
          <w:color w:val="auto"/>
        </w:rPr>
      </w:pPr>
      <w:r>
        <w:rPr>
          <w:rFonts w:ascii="Arial" w:cs="Arial" w:eastAsia="Arial" w:hAnsi="Arial"/>
          <w:sz w:val="18"/>
          <w:szCs w:val="18"/>
          <w:color w:val="auto"/>
        </w:rPr>
        <w:t>We have granted certain registration rights to our holders of preferred shares. Set forth below is a description of the registration rights granted under our currently effective shareholders agreement.</w:t>
      </w:r>
    </w:p>
    <w:p>
      <w:pPr>
        <w:spacing w:after="0" w:line="179"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Holders of at least 30% of the then outstanding registrable securities (including ordinary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or issuable upon conversion of the preferred shares) have the right to demand that we file a registration statement of all registrable securities that the holders request to be registered and included in such registration by written notice. Holders of registrable securities may request the registrable securities be distributed by means of an underwriting. We are not obligated to effect more than three such demand registrations. We have the right to defer such filing of registration statement for a period of not more than ninety (90) days after receipt of a demand registration request if, in the good faith judgment of the board of directors of our company, it would be</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materially detrimental to us and our shareholders for such registration statement to be filed at such time. However, we cannot exercise the deferral right more than once in any twelve-month period and we cannot register any other shares of our company during such twelve-month period.</w:t>
      </w:r>
    </w:p>
    <w:p>
      <w:pPr>
        <w:spacing w:after="0" w:line="18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If we propose to file a registration statement for a public offering of our shares, we shall give all</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registrable securities a written notice of such registration and shall afford each holder of registrable securities an opportunity to include in such registration all or any part of the registerable securities held by such holder. Holders of registrable securities may make this piggyback registration request for unlimited number of times.</w:t>
      </w:r>
    </w:p>
    <w:p>
      <w:pPr>
        <w:spacing w:after="0" w:line="181" w:lineRule="exact"/>
        <w:rPr>
          <w:sz w:val="20"/>
          <w:szCs w:val="20"/>
          <w:color w:val="auto"/>
        </w:rPr>
      </w:pPr>
    </w:p>
    <w:p>
      <w:pPr>
        <w:ind w:left="120" w:right="320" w:firstLine="551"/>
        <w:spacing w:after="0" w:line="250" w:lineRule="auto"/>
        <w:rPr>
          <w:sz w:val="20"/>
          <w:szCs w:val="20"/>
          <w:color w:val="auto"/>
        </w:rPr>
      </w:pPr>
      <w:r>
        <w:rPr>
          <w:rFonts w:ascii="Arial" w:cs="Arial" w:eastAsia="Arial" w:hAnsi="Arial"/>
          <w:sz w:val="18"/>
          <w:szCs w:val="18"/>
          <w:i w:val="1"/>
          <w:iCs w:val="1"/>
          <w:color w:val="auto"/>
        </w:rPr>
        <w:t>Form F-3 Registration Rights</w:t>
      </w:r>
      <w:r>
        <w:rPr>
          <w:rFonts w:ascii="Arial" w:cs="Arial" w:eastAsia="Arial" w:hAnsi="Arial"/>
          <w:sz w:val="18"/>
          <w:szCs w:val="18"/>
          <w:color w:val="auto"/>
        </w:rPr>
        <w:t>. Holders of at least a majority of all registrable securities may request us in writing to file effect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on Form F-3 for an unlimited number of times. We shall effect the registration of the securities on Form F-3 as soon as practicable, except in certain circumstances.</w:t>
      </w:r>
    </w:p>
    <w:p>
      <w:pPr>
        <w:spacing w:after="0" w:line="177" w:lineRule="exact"/>
        <w:rPr>
          <w:sz w:val="20"/>
          <w:szCs w:val="20"/>
          <w:color w:val="auto"/>
        </w:rPr>
      </w:pPr>
    </w:p>
    <w:p>
      <w:pPr>
        <w:ind w:left="660"/>
        <w:spacing w:after="0"/>
        <w:tabs>
          <w:tab w:leader="none" w:pos="2900" w:val="left"/>
        </w:tabs>
        <w:rPr>
          <w:sz w:val="20"/>
          <w:szCs w:val="20"/>
          <w:color w:val="auto"/>
        </w:rPr>
      </w:pPr>
      <w:r>
        <w:rPr>
          <w:rFonts w:ascii="Arial" w:cs="Arial" w:eastAsia="Arial" w:hAnsi="Arial"/>
          <w:sz w:val="18"/>
          <w:szCs w:val="18"/>
          <w:i w:val="1"/>
          <w:iCs w:val="1"/>
          <w:color w:val="auto"/>
        </w:rPr>
        <w:t>Expenses of Registration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will bear all registration expenses, other than underwriting discounts and selling commissions.</w:t>
      </w:r>
    </w:p>
    <w:p>
      <w:pPr>
        <w:spacing w:after="0" w:line="212" w:lineRule="exact"/>
        <w:rPr>
          <w:sz w:val="20"/>
          <w:szCs w:val="20"/>
          <w:color w:val="auto"/>
        </w:rPr>
      </w:pPr>
    </w:p>
    <w:p>
      <w:pPr>
        <w:ind w:left="120" w:right="300" w:firstLine="551"/>
        <w:spacing w:after="0" w:line="250" w:lineRule="auto"/>
        <w:rPr>
          <w:sz w:val="20"/>
          <w:szCs w:val="20"/>
          <w:color w:val="auto"/>
        </w:rPr>
      </w:pPr>
      <w:r>
        <w:rPr>
          <w:rFonts w:ascii="Arial" w:cs="Arial" w:eastAsia="Arial" w:hAnsi="Arial"/>
          <w:sz w:val="18"/>
          <w:szCs w:val="18"/>
          <w:i w:val="1"/>
          <w:iCs w:val="1"/>
          <w:color w:val="auto"/>
        </w:rPr>
        <w:t>Termination of Registration Rights</w:t>
      </w:r>
      <w:r>
        <w:rPr>
          <w:rFonts w:ascii="Arial" w:cs="Arial" w:eastAsia="Arial" w:hAnsi="Arial"/>
          <w:sz w:val="18"/>
          <w:szCs w:val="18"/>
          <w:color w:val="auto"/>
        </w:rPr>
        <w:t>. Our shareholders’ registration rights will terminate (i) after five years of the completion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or (ii) all such registrable securities proposed to be sold by a shareholder may then be sold without registration in any 90-day period pursuant to Rule 144 promulgated under the Securities Act.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policy undertakings to IFC</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undertake to provide one of our shareholders, International Finance Corporation, or IFC, with annual monitoring report confirming our compliance with specific social and environmental measures undertaken by us and our compliance with IFC’s performance standards on social &amp; environmental sustainability, and notify IFC of certain incidents or circumstances that have or could reasonably be expected to have an adverse effect on IFC’s investment in us and our business operations in accordance with IFC’s performance standards on social and environmental sustainability. In addition, we also provide IFC with certain information and inspection rights, and covenant to conduct our business in a compliant manner.</w:t>
      </w:r>
    </w:p>
    <w:p>
      <w:pPr>
        <w:spacing w:after="0" w:line="205"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Pursuant to a put option agreement we entered into with certain of our shareholders on June 26, 2018, we granted to each of such shareholders a put option to sell the shares held by them back to us at certain agreed price upon certain triggering events, such as failure to perform our obligations under IFC policy undertakings described above. On May 25, 2021, the put option was terminated by mutual agreement between the relevant shareholders and us.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34"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Citibank, N.A. has agreed to act as the depositary for the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 Hong Kong, located at 9/F Citi Tower, One Bay East, 83 Hoi Bun Road, Kwun Tong, Kowloon, Hong Kong.</w:t>
      </w:r>
    </w:p>
    <w:p>
      <w:pPr>
        <w:spacing w:after="0" w:line="205"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7"/>
          <w:szCs w:val="17"/>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w:t>
      </w:r>
    </w:p>
    <w:p>
      <w:pPr>
        <w:spacing w:after="0" w:line="2" w:lineRule="exact"/>
        <w:rPr>
          <w:sz w:val="20"/>
          <w:szCs w:val="20"/>
          <w:color w:val="auto"/>
        </w:rPr>
      </w:pPr>
    </w:p>
    <w:p>
      <w:pPr>
        <w:ind w:left="120"/>
        <w:spacing w:after="0"/>
        <w:tabs>
          <w:tab w:leader="none" w:pos="1800" w:val="left"/>
        </w:tabs>
        <w:rPr>
          <w:sz w:val="20"/>
          <w:szCs w:val="20"/>
          <w:color w:val="auto"/>
        </w:rPr>
      </w:pPr>
      <w:r>
        <w:rPr>
          <w:rFonts w:ascii="Arial" w:cs="Arial" w:eastAsia="Arial" w:hAnsi="Arial"/>
          <w:sz w:val="18"/>
          <w:szCs w:val="18"/>
          <w:color w:val="auto"/>
        </w:rPr>
        <w:t>Number 333-</w:t>
      </w:r>
      <w:r>
        <w:rPr>
          <w:sz w:val="20"/>
          <w:szCs w:val="20"/>
          <w:color w:val="auto"/>
        </w:rPr>
        <w:tab/>
      </w:r>
      <w:r>
        <w:rPr>
          <w:rFonts w:ascii="Arial" w:cs="Arial" w:eastAsia="Arial" w:hAnsi="Arial"/>
          <w:sz w:val="17"/>
          <w:szCs w:val="17"/>
          <w:color w:val="auto"/>
        </w:rPr>
        <w:t>when retrieving such copy.</w:t>
      </w:r>
    </w:p>
    <w:p>
      <w:pPr>
        <w:spacing w:after="0" w:line="21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202"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Each ADS represents the right to receive, and to exercise the beneficial ownership interests in, Class A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14"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Class A ordinary shares will continue to be governed by the laws of the Cayman Islands, which may be different from the laws in the United States.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20" w:firstLine="551"/>
        <w:spacing w:after="0" w:line="257" w:lineRule="auto"/>
        <w:rPr>
          <w:sz w:val="20"/>
          <w:szCs w:val="20"/>
          <w:color w:val="auto"/>
        </w:rPr>
      </w:pPr>
      <w:r>
        <w:rPr>
          <w:rFonts w:ascii="Arial" w:cs="Arial" w:eastAsia="Arial" w:hAnsi="Arial"/>
          <w:sz w:val="17"/>
          <w:szCs w:val="17"/>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71" w:lineRule="exact"/>
        <w:rPr>
          <w:sz w:val="20"/>
          <w:szCs w:val="20"/>
          <w:color w:val="auto"/>
        </w:rPr>
      </w:pPr>
    </w:p>
    <w:p>
      <w:pPr>
        <w:ind w:left="120" w:right="200" w:firstLine="551"/>
        <w:spacing w:after="0" w:line="242" w:lineRule="auto"/>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will hold on your behalf the shareholder rights attached to the Class A ordinary shares underlying your ADSs. As an owner of ADSs you will be able to exercise the shareholders rights for the Class A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1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registration of the Class A ordinary shares in the name of the depositary or the custodian shall, to the maximum extent permitted by applicable law, vest in the depositary or the custodian the record ownership in the applicable Class A ordinary shares with the beneficial ownership rights and interests in such Class A ordinary shares being at all times vested with the beneficial owners of the ADSs representing the Class A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23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terms of the deposit agreement in proportion to the number of ADSs held as of the specified record date, after deduction of the applicable fees, taxes and expenses.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Cash</w:t>
      </w:r>
    </w:p>
    <w:p>
      <w:pPr>
        <w:spacing w:after="0" w:line="23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the Cayman Islands.</w:t>
      </w:r>
    </w:p>
    <w:p>
      <w:pPr>
        <w:spacing w:after="0" w:line="205" w:lineRule="exact"/>
        <w:rPr>
          <w:sz w:val="20"/>
          <w:szCs w:val="20"/>
          <w:color w:val="auto"/>
        </w:rPr>
      </w:pPr>
    </w:p>
    <w:p>
      <w:pPr>
        <w:jc w:val="both"/>
        <w:ind w:left="120" w:right="140" w:firstLine="551"/>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Shares</w:t>
      </w:r>
    </w:p>
    <w:p>
      <w:pPr>
        <w:spacing w:after="0" w:line="234"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Whenever we make a free distribution of Class A ordinary shares for the securities on deposit with the custodian, we will deposit the applicable number of Class A ordinary shares with the custodian. Upon receipt of confirmation of such deposit, the depositary will either distribute to holders new ADSs representing the Class A ordinary shares deposited or modify the ADS-to- Class A ordinary shares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distribution of new ADSs or the modification of the ADS-to-Class A ordinary shares ratio upon a distribution of Class A ordinary shares will be made net of the fees, expenses, taxes and governmental charges payable by holders under the terms of the deposit agreement. In order to pay such taxes or governmental charges, the depositary may sell all or a portion of the new Class A ordinary shares so distributed.</w:t>
      </w:r>
    </w:p>
    <w:p>
      <w:pPr>
        <w:spacing w:after="0" w:line="187" w:lineRule="exact"/>
        <w:rPr>
          <w:sz w:val="20"/>
          <w:szCs w:val="20"/>
          <w:color w:val="auto"/>
        </w:rPr>
      </w:pPr>
    </w:p>
    <w:p>
      <w:pPr>
        <w:ind w:left="120" w:right="60" w:firstLine="551"/>
        <w:spacing w:after="0" w:line="250"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Class A ordinary shares received upon the terms described in the deposit agreement and will distribute the proceeds of the sale as in the case of a distribution of cash.</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of Rights</w:t>
      </w:r>
    </w:p>
    <w:p>
      <w:pPr>
        <w:spacing w:after="0" w:line="234"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Whenever we intend to distribute rights to subscribe for additional Class A ordinary shares, we will give prior notice to the depositary and we will assist the depositary in determining whether it is lawful and reasonably practicable to distribute rights to subscribe for additional ADSs to holders.</w:t>
      </w:r>
    </w:p>
    <w:p>
      <w:pPr>
        <w:spacing w:after="0" w:line="203"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depositary will establish procedures to distribute rights to subscribe for additional ADSs to holders and to enable such holders to exercise such rights if we request such rights be made available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to holders of ADSs,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ordinary shares other than in the form of ADSs.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35" w:lineRule="exact"/>
        <w:rPr>
          <w:sz w:val="20"/>
          <w:szCs w:val="20"/>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depositary will sell the rights that are not made available to you or not exercised and appear to be about to lapse if such sale is lawful and reasonably practicable. The proceeds of such sale will be distributed to holders as in the case of a cash distribution. If the depositary is unable to sell the rights in such circumstances, it will allow the rights to lapse.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Elective Distributions</w:t>
      </w:r>
    </w:p>
    <w:p>
      <w:pPr>
        <w:spacing w:after="0" w:line="234" w:lineRule="exact"/>
        <w:rPr>
          <w:sz w:val="20"/>
          <w:szCs w:val="20"/>
          <w:color w:val="auto"/>
        </w:rPr>
      </w:pPr>
    </w:p>
    <w:p>
      <w:pPr>
        <w:jc w:val="both"/>
        <w:ind w:left="120" w:right="200" w:firstLine="551"/>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depositary will make the election available to you only if we request,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3"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Distributions</w:t>
      </w:r>
    </w:p>
    <w:p>
      <w:pPr>
        <w:spacing w:after="0" w:line="234"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Whenever we intend to distribute property other than cash, Class A ordinary shares or rights to subscribe for additional Class A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If it is reasonably practicable to distribute such property to you and if we request such distribution be made available to you and provide to the depositary all of the documentation contemplated in the deposit agreement, the depositary will distribute the property to the holders in a manner it deems practicable.</w:t>
      </w:r>
    </w:p>
    <w:p>
      <w:pPr>
        <w:spacing w:after="0" w:line="203" w:lineRule="exact"/>
        <w:rPr>
          <w:sz w:val="20"/>
          <w:szCs w:val="20"/>
          <w:color w:val="auto"/>
        </w:rPr>
      </w:pPr>
    </w:p>
    <w:p>
      <w:pPr>
        <w:ind w:left="120" w:firstLine="551"/>
        <w:spacing w:after="0" w:line="274"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080"/>
          </w:cols>
          <w:pgMar w:left="320" w:top="459" w:right="4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5" w:lineRule="exact"/>
        <w:rPr>
          <w:sz w:val="20"/>
          <w:szCs w:val="20"/>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request that the property not be distributed to you;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w:t>
      </w:r>
    </w:p>
    <w:p>
      <w:pPr>
        <w:spacing w:after="0" w:line="23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may determine.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affecting Class A ordinary shares</w:t>
      </w:r>
    </w:p>
    <w:p>
      <w:pPr>
        <w:spacing w:after="0" w:line="234"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The Class A ordinary shares held on deposit for your ADSs may change from time to time. For example, there may be a change in nominal or par value, split-up, cancellation, consolidation or any other reclassification of such Class A ordinary shares or a recapitalization, reorganization, merger, consolidation or sale of assets of the Company.</w:t>
      </w:r>
    </w:p>
    <w:p>
      <w:pPr>
        <w:spacing w:after="0" w:line="203"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Class A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ADSs upon Deposit of Class A ordinary shares</w:t>
      </w:r>
    </w:p>
    <w:p>
      <w:pPr>
        <w:spacing w:after="0" w:line="234" w:lineRule="exact"/>
        <w:rPr>
          <w:sz w:val="20"/>
          <w:szCs w:val="20"/>
          <w:color w:val="auto"/>
        </w:rPr>
      </w:pPr>
    </w:p>
    <w:p>
      <w:pPr>
        <w:jc w:val="both"/>
        <w:ind w:left="120" w:right="120" w:firstLine="551"/>
        <w:spacing w:after="0" w:line="274" w:lineRule="auto"/>
        <w:rPr>
          <w:sz w:val="20"/>
          <w:szCs w:val="20"/>
          <w:color w:val="auto"/>
        </w:rPr>
      </w:pPr>
      <w:r>
        <w:rPr>
          <w:rFonts w:ascii="Arial" w:cs="Arial" w:eastAsia="Arial" w:hAnsi="Arial"/>
          <w:sz w:val="17"/>
          <w:szCs w:val="17"/>
          <w:color w:val="auto"/>
        </w:rPr>
        <w:t>Upon completion of the offering, the Class A ordinary shares being offered pursuant to the prospectus will be deposited by us with the custodian. Upon receipt of confirmation of such deposit, the depositary will issue ADSs to the underwriters named in the prospectus.</w:t>
      </w:r>
    </w:p>
    <w:p>
      <w:pPr>
        <w:spacing w:after="0" w:line="175" w:lineRule="exact"/>
        <w:rPr>
          <w:sz w:val="20"/>
          <w:szCs w:val="20"/>
          <w:color w:val="auto"/>
        </w:rPr>
      </w:pPr>
    </w:p>
    <w:p>
      <w:pPr>
        <w:jc w:val="both"/>
        <w:ind w:left="120" w:right="140" w:firstLine="551"/>
        <w:spacing w:after="0" w:line="261" w:lineRule="auto"/>
        <w:rPr>
          <w:sz w:val="20"/>
          <w:szCs w:val="20"/>
          <w:color w:val="auto"/>
        </w:rPr>
      </w:pPr>
      <w:r>
        <w:rPr>
          <w:rFonts w:ascii="Arial" w:cs="Arial" w:eastAsia="Arial" w:hAnsi="Arial"/>
          <w:sz w:val="17"/>
          <w:szCs w:val="17"/>
          <w:color w:val="auto"/>
        </w:rPr>
        <w:t>After the closing of the offer, the depositary may create ADSs on your behalf if you or your broker deposit Class A ordinary shares with the custodian and provide the certifications and documentation required by the deposit agreement. The depositary will deliver these ADSs to the person you indicate only after you pay any applicable issuance fees and any charges and taxes payable for the transfer 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Class A ordinary shares to the custodian. Your ability to deposit Class A ordinary shares and receive ADSs may be limited by U.S. and Cayman Islands legal considerations applicable at the time of deposit.</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Class A ordinary shares have been duly transferred to the custodian. The depositary will only issue ADSs in whole numbers.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you make a deposit of Class A ordinary shares, you will be responsible for transferring good and valid title to the depositary.</w:t>
      </w:r>
    </w:p>
    <w:p>
      <w:pPr>
        <w:ind w:left="120"/>
        <w:spacing w:after="0"/>
        <w:rPr>
          <w:sz w:val="20"/>
          <w:szCs w:val="20"/>
          <w:color w:val="auto"/>
        </w:rPr>
      </w:pPr>
      <w:r>
        <w:rPr>
          <w:rFonts w:ascii="Arial" w:cs="Arial" w:eastAsia="Arial" w:hAnsi="Arial"/>
          <w:sz w:val="18"/>
          <w:szCs w:val="18"/>
          <w:color w:val="auto"/>
        </w:rPr>
        <w:t>As such, you will be deemed to represent and warrant that:</w:t>
      </w:r>
    </w:p>
    <w:p>
      <w:pPr>
        <w:spacing w:after="0" w:line="117" w:lineRule="exact"/>
        <w:rPr>
          <w:sz w:val="20"/>
          <w:szCs w:val="20"/>
          <w:color w:val="auto"/>
        </w:rPr>
      </w:pPr>
    </w:p>
    <w:p>
      <w:pPr>
        <w:ind w:left="880" w:hanging="224"/>
        <w:spacing w:after="0"/>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Class A ordinary shares are duly authorized, validly issued, fully paid, non-assessable and legally obtained.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Class A ordinary shares have been validly waived or exercised.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You are duly authorized to deposit the Class A ordinary shares.</w:t>
      </w:r>
    </w:p>
    <w:p>
      <w:pPr>
        <w:spacing w:after="0" w:line="117" w:lineRule="exact"/>
        <w:rPr>
          <w:rFonts w:ascii="Arial" w:cs="Arial" w:eastAsia="Arial" w:hAnsi="Arial"/>
          <w:sz w:val="18"/>
          <w:szCs w:val="18"/>
          <w:color w:val="auto"/>
        </w:rPr>
      </w:pPr>
    </w:p>
    <w:p>
      <w:pPr>
        <w:ind w:left="880" w:right="120" w:hanging="224"/>
        <w:spacing w:after="0"/>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Class A ordinary shares presented for deposit have not been stripped of any rights or entitlements.</w:t>
      </w:r>
    </w:p>
    <w:p>
      <w:pPr>
        <w:spacing w:after="0" w:line="212"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w:t>
      </w:r>
    </w:p>
    <w:p>
      <w:pPr>
        <w:ind w:left="120"/>
        <w:spacing w:after="0"/>
        <w:rPr>
          <w:sz w:val="20"/>
          <w:szCs w:val="20"/>
          <w:color w:val="auto"/>
        </w:rPr>
      </w:pPr>
      <w:r>
        <w:rPr>
          <w:rFonts w:ascii="Arial" w:cs="Arial" w:eastAsia="Arial" w:hAnsi="Arial"/>
          <w:sz w:val="18"/>
          <w:szCs w:val="18"/>
          <w:color w:val="auto"/>
        </w:rPr>
        <w:t>ADRs, you will have to surrender the ADRs to be transferred to the depositary and also must:</w:t>
      </w:r>
    </w:p>
    <w:p>
      <w:pPr>
        <w:spacing w:after="0" w:line="117" w:lineRule="exact"/>
        <w:rPr>
          <w:sz w:val="20"/>
          <w:szCs w:val="20"/>
          <w:color w:val="auto"/>
        </w:rPr>
      </w:pPr>
    </w:p>
    <w:p>
      <w:pPr>
        <w:ind w:left="880" w:hanging="224"/>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1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97" w:lineRule="exact"/>
        <w:rPr>
          <w:sz w:val="20"/>
          <w:szCs w:val="20"/>
          <w:color w:val="auto"/>
        </w:rPr>
      </w:pPr>
    </w:p>
    <w:p>
      <w:pPr>
        <w:jc w:val="both"/>
        <w:ind w:left="120" w:right="300" w:firstLine="551"/>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of Class A ordinary shares Upon Cancellation of ADSs</w:t>
      </w:r>
    </w:p>
    <w:p>
      <w:pPr>
        <w:spacing w:after="0" w:line="234"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Class A ordinary shares at the custodian’s offices.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Your ability to withdraw the Class A ordinary shares held in respect of the ADSs may be limited by U.S. and Cayman Islands legal considerations applicable at the time of withdrawal. In order to withdraw the Class A ordinary shares represented by your ADSs, you will be required to pay to the depositary the fees for cancellation of ADSs and any charges and taxes payable upon the transfer of the Class A ordinary shares. You assume the risk for delivery of all funds and securities upon withdrawal. Once canceled, the ADSs will not have any rights under the deposit agreement.</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17" w:lineRule="exact"/>
        <w:rPr>
          <w:sz w:val="20"/>
          <w:szCs w:val="20"/>
          <w:color w:val="auto"/>
        </w:rPr>
      </w:pPr>
    </w:p>
    <w:p>
      <w:pPr>
        <w:ind w:left="880" w:right="80" w:hanging="224"/>
        <w:spacing w:after="0" w:line="246" w:lineRule="auto"/>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Class A ordinary shares or ADSs are closed, or (ii) Class A ordinary shares are immobilized on account of a shareholders’ meeting or a payment of dividends.</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12" w:lineRule="exact"/>
        <w:rPr>
          <w:sz w:val="20"/>
          <w:szCs w:val="20"/>
          <w:color w:val="auto"/>
        </w:rPr>
      </w:pPr>
    </w:p>
    <w:p>
      <w:pPr>
        <w:ind w:left="120" w:right="360" w:firstLine="551"/>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234" w:lineRule="exact"/>
        <w:rPr>
          <w:sz w:val="20"/>
          <w:szCs w:val="20"/>
          <w:color w:val="auto"/>
        </w:rPr>
      </w:pPr>
    </w:p>
    <w:p>
      <w:pPr>
        <w:jc w:val="both"/>
        <w:ind w:left="120" w:right="60" w:firstLine="551"/>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Class A ordinary shares represented by your ADSs. The voting rights of holders of Class A ordinary shares are described in the section of this prospectus titled “Description of Share Capital”.</w:t>
      </w:r>
    </w:p>
    <w:p>
      <w:pPr>
        <w:spacing w:after="0" w:line="203" w:lineRule="exact"/>
        <w:rPr>
          <w:sz w:val="20"/>
          <w:szCs w:val="20"/>
          <w:color w:val="auto"/>
        </w:rPr>
      </w:pPr>
    </w:p>
    <w:p>
      <w:pPr>
        <w:ind w:left="120" w:right="160" w:firstLine="551"/>
        <w:spacing w:after="0" w:line="261" w:lineRule="auto"/>
        <w:rPr>
          <w:sz w:val="20"/>
          <w:szCs w:val="20"/>
          <w:color w:val="auto"/>
        </w:rPr>
      </w:pPr>
      <w:r>
        <w:rPr>
          <w:rFonts w:ascii="Arial" w:cs="Arial" w:eastAsia="Arial" w:hAnsi="Arial"/>
          <w:sz w:val="17"/>
          <w:szCs w:val="17"/>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86" w:lineRule="exact"/>
        <w:rPr>
          <w:sz w:val="20"/>
          <w:szCs w:val="20"/>
          <w:color w:val="auto"/>
        </w:rPr>
      </w:pPr>
    </w:p>
    <w:p>
      <w:pPr>
        <w:ind w:left="120" w:right="320" w:firstLine="551"/>
        <w:spacing w:after="0" w:line="246"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84" w:lineRule="exact"/>
        <w:rPr>
          <w:sz w:val="20"/>
          <w:szCs w:val="20"/>
          <w:color w:val="auto"/>
        </w:rPr>
      </w:pPr>
    </w:p>
    <w:p>
      <w:pPr>
        <w:ind w:left="880" w:right="320" w:hanging="224"/>
        <w:spacing w:after="0" w:line="250"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shares held on</w:t>
      </w:r>
      <w:r>
        <w:rPr>
          <w:rFonts w:ascii="Arial" w:cs="Arial" w:eastAsia="Arial" w:hAnsi="Arial"/>
          <w:sz w:val="18"/>
          <w:szCs w:val="18"/>
          <w:i w:val="1"/>
          <w:iCs w:val="1"/>
          <w:color w:val="auto"/>
        </w:rPr>
        <w:t xml:space="preserve"> </w:t>
      </w:r>
      <w:r>
        <w:rPr>
          <w:rFonts w:ascii="Arial" w:cs="Arial" w:eastAsia="Arial" w:hAnsi="Arial"/>
          <w:sz w:val="18"/>
          <w:szCs w:val="18"/>
          <w:color w:val="auto"/>
        </w:rPr>
        <w:t>deposit at that time in accordance with the voting instructions received from a majority of holders of ADSs who provide timely voting instructions.</w:t>
      </w:r>
    </w:p>
    <w:p>
      <w:pPr>
        <w:spacing w:after="0" w:line="82" w:lineRule="exact"/>
        <w:rPr>
          <w:rFonts w:ascii="Arial" w:cs="Arial" w:eastAsia="Arial" w:hAnsi="Arial"/>
          <w:sz w:val="18"/>
          <w:szCs w:val="18"/>
          <w:color w:val="auto"/>
        </w:rPr>
      </w:pPr>
    </w:p>
    <w:p>
      <w:pPr>
        <w:ind w:left="880" w:right="400" w:hanging="224"/>
        <w:spacing w:after="0" w:line="267"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timely received from the holders of ADSs.</w:t>
      </w:r>
    </w:p>
    <w:p>
      <w:pPr>
        <w:spacing w:after="0" w:line="178"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Securities for which no voting instructions have been received will not be voted (except (a) as set forth above in the case voting is by show of hands, (b) in the event of voting by poll, holders of ADSs in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respect of which no timely voting instructions have been received shall be deemed to have instructed the depositary to give a discretionary proxy to a person designated by us to vote the ordinary shares represented by such holders’ ADSs; provided, however, that no such discretionary proxy shall be given with respect to any matter to be voted upon as to which we inform the depositary that (i) we do not wish such proxy to be given, (ii) substantial opposition exists, or (iii) the rights of holders of ordinary shares may be adversely affected, and (c)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Service</w:t>
            </w:r>
          </w:p>
        </w:tc>
        <w:tc>
          <w:tcPr>
            <w:tcW w:w="4300" w:type="dxa"/>
            <w:vAlign w:val="bottom"/>
          </w:tcPr>
          <w:p>
            <w:pPr>
              <w:ind w:left="1980"/>
              <w:spacing w:after="0"/>
              <w:rPr>
                <w:sz w:val="20"/>
                <w:szCs w:val="20"/>
                <w:color w:val="auto"/>
              </w:rPr>
            </w:pPr>
            <w:r>
              <w:rPr>
                <w:rFonts w:ascii="Arial" w:cs="Arial" w:eastAsia="Arial" w:hAnsi="Arial"/>
                <w:sz w:val="14"/>
                <w:szCs w:val="14"/>
                <w:b w:val="1"/>
                <w:bCs w:val="1"/>
                <w:color w:val="auto"/>
              </w:rPr>
              <w:t>Fees</w:t>
            </w:r>
          </w:p>
        </w:tc>
      </w:tr>
      <w:tr>
        <w:trPr>
          <w:trHeight w:val="195"/>
        </w:trPr>
        <w:tc>
          <w:tcPr>
            <w:tcW w:w="6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   Issuance of ADSs (e.g., an issuance of ADS upon a deposit of Class A</w:t>
            </w:r>
          </w:p>
        </w:tc>
        <w:tc>
          <w:tcPr>
            <w:tcW w:w="10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Up to US$0.05 per ADS issued</w:t>
            </w:r>
          </w:p>
        </w:tc>
      </w:tr>
      <w:tr>
        <w:trPr>
          <w:trHeight w:val="203"/>
        </w:trPr>
        <w:tc>
          <w:tcPr>
            <w:tcW w:w="67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ordinary shares, upon a change in the ADS(s)-to-Class A ordinary share ratio,</w:t>
            </w:r>
          </w:p>
        </w:tc>
        <w:tc>
          <w:tcPr>
            <w:tcW w:w="4300" w:type="dxa"/>
            <w:vAlign w:val="bottom"/>
          </w:tcPr>
          <w:p>
            <w:pPr>
              <w:spacing w:after="0"/>
              <w:rPr>
                <w:sz w:val="17"/>
                <w:szCs w:val="17"/>
                <w:color w:val="auto"/>
              </w:rPr>
            </w:pPr>
          </w:p>
        </w:tc>
      </w:tr>
      <w:tr>
        <w:trPr>
          <w:trHeight w:val="203"/>
        </w:trPr>
        <w:tc>
          <w:tcPr>
            <w:tcW w:w="67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or for any other reason), excluding ADS issuances as a result of distributions</w:t>
            </w:r>
          </w:p>
        </w:tc>
        <w:tc>
          <w:tcPr>
            <w:tcW w:w="4300" w:type="dxa"/>
            <w:vAlign w:val="bottom"/>
          </w:tcPr>
          <w:p>
            <w:pPr>
              <w:spacing w:after="0"/>
              <w:rPr>
                <w:sz w:val="17"/>
                <w:szCs w:val="17"/>
                <w:color w:val="auto"/>
              </w:rPr>
            </w:pPr>
          </w:p>
        </w:tc>
      </w:tr>
      <w:tr>
        <w:trPr>
          <w:trHeight w:val="217"/>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of Class A ordinary shares</w:t>
            </w:r>
          </w:p>
        </w:tc>
        <w:tc>
          <w:tcPr>
            <w:tcW w:w="4300" w:type="dxa"/>
            <w:vAlign w:val="bottom"/>
          </w:tcPr>
          <w:p>
            <w:pPr>
              <w:spacing w:after="0"/>
              <w:rPr>
                <w:sz w:val="18"/>
                <w:szCs w:val="18"/>
                <w:color w:val="auto"/>
              </w:rPr>
            </w:pPr>
          </w:p>
        </w:tc>
      </w:tr>
      <w:tr>
        <w:trPr>
          <w:trHeight w:val="296"/>
        </w:trPr>
        <w:tc>
          <w:tcPr>
            <w:tcW w:w="6720" w:type="dxa"/>
            <w:vAlign w:val="bottom"/>
            <w:gridSpan w:val="2"/>
          </w:tcPr>
          <w:p>
            <w:pPr>
              <w:spacing w:after="0"/>
              <w:rPr>
                <w:sz w:val="20"/>
                <w:szCs w:val="20"/>
                <w:color w:val="auto"/>
              </w:rPr>
            </w:pPr>
            <w:r>
              <w:rPr>
                <w:rFonts w:ascii="Arial" w:cs="Arial" w:eastAsia="Arial" w:hAnsi="Arial"/>
                <w:sz w:val="18"/>
                <w:szCs w:val="18"/>
                <w:color w:val="auto"/>
              </w:rPr>
              <w:t>•   Cancellation of ADSs (e.g., a cancellation of ADSs for delivery of deposited</w:t>
            </w:r>
          </w:p>
        </w:tc>
        <w:tc>
          <w:tcPr>
            <w:tcW w:w="4300" w:type="dxa"/>
            <w:vAlign w:val="bottom"/>
          </w:tcPr>
          <w:p>
            <w:pPr>
              <w:spacing w:after="0"/>
              <w:rPr>
                <w:sz w:val="20"/>
                <w:szCs w:val="20"/>
                <w:color w:val="auto"/>
              </w:rPr>
            </w:pPr>
            <w:r>
              <w:rPr>
                <w:rFonts w:ascii="Arial" w:cs="Arial" w:eastAsia="Arial" w:hAnsi="Arial"/>
                <w:sz w:val="18"/>
                <w:szCs w:val="18"/>
                <w:color w:val="auto"/>
              </w:rPr>
              <w:t>Up to US$0.05 per ADS cancelled</w:t>
            </w:r>
          </w:p>
        </w:tc>
      </w:tr>
      <w:tr>
        <w:trPr>
          <w:trHeight w:val="203"/>
        </w:trPr>
        <w:tc>
          <w:tcPr>
            <w:tcW w:w="67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property, upon a change in the ADS(s)-to-Class A ordinary share ratio, or for</w:t>
            </w:r>
          </w:p>
        </w:tc>
        <w:tc>
          <w:tcPr>
            <w:tcW w:w="4300" w:type="dxa"/>
            <w:vAlign w:val="bottom"/>
          </w:tcPr>
          <w:p>
            <w:pPr>
              <w:spacing w:after="0"/>
              <w:rPr>
                <w:sz w:val="17"/>
                <w:szCs w:val="17"/>
                <w:color w:val="auto"/>
              </w:rPr>
            </w:pPr>
          </w:p>
        </w:tc>
      </w:tr>
      <w:tr>
        <w:trPr>
          <w:trHeight w:val="217"/>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any other reason)</w:t>
            </w:r>
          </w:p>
        </w:tc>
        <w:tc>
          <w:tcPr>
            <w:tcW w:w="4300" w:type="dxa"/>
            <w:vAlign w:val="bottom"/>
          </w:tcPr>
          <w:p>
            <w:pPr>
              <w:spacing w:after="0"/>
              <w:rPr>
                <w:sz w:val="18"/>
                <w:szCs w:val="18"/>
                <w:color w:val="auto"/>
              </w:rPr>
            </w:pPr>
          </w:p>
        </w:tc>
      </w:tr>
      <w:tr>
        <w:trPr>
          <w:trHeight w:val="296"/>
        </w:trPr>
        <w:tc>
          <w:tcPr>
            <w:tcW w:w="6720" w:type="dxa"/>
            <w:vAlign w:val="bottom"/>
            <w:gridSpan w:val="2"/>
          </w:tcPr>
          <w:p>
            <w:pPr>
              <w:spacing w:after="0"/>
              <w:rPr>
                <w:sz w:val="20"/>
                <w:szCs w:val="20"/>
                <w:color w:val="auto"/>
              </w:rPr>
            </w:pPr>
            <w:r>
              <w:rPr>
                <w:rFonts w:ascii="Arial" w:cs="Arial" w:eastAsia="Arial" w:hAnsi="Arial"/>
                <w:sz w:val="18"/>
                <w:szCs w:val="18"/>
                <w:color w:val="auto"/>
              </w:rPr>
              <w:t>•   Distribution of cash dividends or other cash distributions (e.g., upon a sale of</w:t>
            </w:r>
          </w:p>
        </w:tc>
        <w:tc>
          <w:tcPr>
            <w:tcW w:w="430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17"/>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rights and other entitlements)</w:t>
            </w:r>
          </w:p>
        </w:tc>
        <w:tc>
          <w:tcPr>
            <w:tcW w:w="4300" w:type="dxa"/>
            <w:vAlign w:val="bottom"/>
          </w:tcPr>
          <w:p>
            <w:pPr>
              <w:spacing w:after="0"/>
              <w:rPr>
                <w:sz w:val="18"/>
                <w:szCs w:val="18"/>
                <w:color w:val="auto"/>
              </w:rPr>
            </w:pPr>
          </w:p>
        </w:tc>
      </w:tr>
      <w:tr>
        <w:trPr>
          <w:trHeight w:val="296"/>
        </w:trPr>
        <w:tc>
          <w:tcPr>
            <w:tcW w:w="6720" w:type="dxa"/>
            <w:vAlign w:val="bottom"/>
            <w:gridSpan w:val="2"/>
          </w:tcPr>
          <w:p>
            <w:pPr>
              <w:spacing w:after="0"/>
              <w:rPr>
                <w:sz w:val="20"/>
                <w:szCs w:val="20"/>
                <w:color w:val="auto"/>
              </w:rPr>
            </w:pPr>
            <w:r>
              <w:rPr>
                <w:rFonts w:ascii="Arial" w:cs="Arial" w:eastAsia="Arial" w:hAnsi="Arial"/>
                <w:sz w:val="18"/>
                <w:szCs w:val="18"/>
                <w:color w:val="auto"/>
              </w:rPr>
              <w:t>•   Distribution of ADSs pursuant to (i) stock dividends or other free stock</w:t>
            </w:r>
          </w:p>
        </w:tc>
        <w:tc>
          <w:tcPr>
            <w:tcW w:w="430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17"/>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4300" w:type="dxa"/>
            <w:vAlign w:val="bottom"/>
          </w:tcPr>
          <w:p>
            <w:pPr>
              <w:spacing w:after="0"/>
              <w:rPr>
                <w:sz w:val="18"/>
                <w:szCs w:val="18"/>
                <w:color w:val="auto"/>
              </w:rPr>
            </w:pPr>
          </w:p>
        </w:tc>
      </w:tr>
      <w:tr>
        <w:trPr>
          <w:trHeight w:val="296"/>
        </w:trPr>
        <w:tc>
          <w:tcPr>
            <w:tcW w:w="6720" w:type="dxa"/>
            <w:vAlign w:val="bottom"/>
            <w:gridSpan w:val="2"/>
          </w:tcPr>
          <w:p>
            <w:pPr>
              <w:spacing w:after="0"/>
              <w:rPr>
                <w:sz w:val="20"/>
                <w:szCs w:val="20"/>
                <w:color w:val="auto"/>
              </w:rPr>
            </w:pPr>
            <w:r>
              <w:rPr>
                <w:rFonts w:ascii="Arial" w:cs="Arial" w:eastAsia="Arial" w:hAnsi="Arial"/>
                <w:sz w:val="18"/>
                <w:szCs w:val="18"/>
                <w:color w:val="auto"/>
              </w:rPr>
              <w:t>•   Distribution of securities other than ADSs or rights to purchase additional</w:t>
            </w:r>
          </w:p>
        </w:tc>
        <w:tc>
          <w:tcPr>
            <w:tcW w:w="4300" w:type="dxa"/>
            <w:vAlign w:val="bottom"/>
          </w:tcPr>
          <w:p>
            <w:pPr>
              <w:spacing w:after="0"/>
              <w:rPr>
                <w:sz w:val="20"/>
                <w:szCs w:val="20"/>
                <w:color w:val="auto"/>
              </w:rPr>
            </w:pPr>
            <w:r>
              <w:rPr>
                <w:rFonts w:ascii="Arial" w:cs="Arial" w:eastAsia="Arial" w:hAnsi="Arial"/>
                <w:sz w:val="18"/>
                <w:szCs w:val="18"/>
                <w:color w:val="auto"/>
              </w:rPr>
              <w:t>Up to US$0.05 per ADS held</w:t>
            </w:r>
          </w:p>
        </w:tc>
      </w:tr>
      <w:tr>
        <w:trPr>
          <w:trHeight w:val="217"/>
        </w:trPr>
        <w:tc>
          <w:tcPr>
            <w:tcW w:w="6720" w:type="dxa"/>
            <w:vAlign w:val="bottom"/>
            <w:gridSpan w:val="2"/>
          </w:tcPr>
          <w:p>
            <w:pPr>
              <w:ind w:left="340"/>
              <w:spacing w:after="0"/>
              <w:rPr>
                <w:sz w:val="20"/>
                <w:szCs w:val="20"/>
                <w:color w:val="auto"/>
              </w:rPr>
            </w:pPr>
            <w:r>
              <w:rPr>
                <w:rFonts w:ascii="Arial" w:cs="Arial" w:eastAsia="Arial" w:hAnsi="Arial"/>
                <w:sz w:val="18"/>
                <w:szCs w:val="18"/>
                <w:color w:val="auto"/>
              </w:rPr>
              <w:t>ADSs (e.g., upon a spin-off)</w:t>
            </w:r>
          </w:p>
        </w:tc>
        <w:tc>
          <w:tcPr>
            <w:tcW w:w="4300" w:type="dxa"/>
            <w:vAlign w:val="bottom"/>
          </w:tcPr>
          <w:p>
            <w:pPr>
              <w:spacing w:after="0"/>
              <w:rPr>
                <w:sz w:val="18"/>
                <w:szCs w:val="18"/>
                <w:color w:val="auto"/>
              </w:rPr>
            </w:pPr>
          </w:p>
        </w:tc>
      </w:tr>
      <w:tr>
        <w:trPr>
          <w:trHeight w:val="296"/>
        </w:trPr>
        <w:tc>
          <w:tcPr>
            <w:tcW w:w="6720" w:type="dxa"/>
            <w:vAlign w:val="bottom"/>
            <w:gridSpan w:val="2"/>
          </w:tcPr>
          <w:p>
            <w:pPr>
              <w:spacing w:after="0"/>
              <w:rPr>
                <w:sz w:val="20"/>
                <w:szCs w:val="20"/>
                <w:color w:val="auto"/>
              </w:rPr>
            </w:pPr>
            <w:r>
              <w:rPr>
                <w:rFonts w:ascii="Arial" w:cs="Arial" w:eastAsia="Arial" w:hAnsi="Arial"/>
                <w:sz w:val="18"/>
                <w:szCs w:val="18"/>
                <w:color w:val="auto"/>
              </w:rPr>
              <w:t>•   ADS Services</w:t>
            </w:r>
          </w:p>
        </w:tc>
        <w:tc>
          <w:tcPr>
            <w:tcW w:w="4300" w:type="dxa"/>
            <w:vAlign w:val="bottom"/>
          </w:tcPr>
          <w:p>
            <w:pPr>
              <w:spacing w:after="0"/>
              <w:rPr>
                <w:sz w:val="20"/>
                <w:szCs w:val="20"/>
                <w:color w:val="auto"/>
              </w:rPr>
            </w:pPr>
            <w:r>
              <w:rPr>
                <w:rFonts w:ascii="Arial" w:cs="Arial" w:eastAsia="Arial" w:hAnsi="Arial"/>
                <w:sz w:val="18"/>
                <w:szCs w:val="18"/>
                <w:color w:val="auto"/>
              </w:rPr>
              <w:t>Up to US$0.05 per ADS held on the applicable record</w:t>
            </w:r>
          </w:p>
        </w:tc>
      </w:tr>
      <w:tr>
        <w:trPr>
          <w:trHeight w:val="217"/>
        </w:trPr>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date(s) established by the depositary</w:t>
            </w: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460" w:right="80" w:hanging="344"/>
        <w:spacing w:after="0"/>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Registration of ADS transfers (e.g., upon a registration of the transfer of registered ownership of ADSs, upon a transfer of ADSs into DTC and </w:t>
      </w:r>
      <w:r>
        <w:rPr>
          <w:rFonts w:ascii="Arial" w:cs="Arial" w:eastAsia="Arial" w:hAnsi="Arial"/>
          <w:sz w:val="18"/>
          <w:szCs w:val="18"/>
          <w:i w:val="1"/>
          <w:iCs w:val="1"/>
          <w:color w:val="auto"/>
        </w:rPr>
        <w:t>vice</w:t>
      </w:r>
      <w:r>
        <w:rPr>
          <w:rFonts w:ascii="Arial" w:cs="Arial" w:eastAsia="Arial" w:hAnsi="Arial"/>
          <w:sz w:val="18"/>
          <w:szCs w:val="18"/>
          <w:color w:val="auto"/>
        </w:rPr>
        <w:t xml:space="preserve"> </w:t>
      </w:r>
      <w:r>
        <w:rPr>
          <w:rFonts w:ascii="Arial" w:cs="Arial" w:eastAsia="Arial" w:hAnsi="Arial"/>
          <w:sz w:val="18"/>
          <w:szCs w:val="18"/>
          <w:i w:val="1"/>
          <w:iCs w:val="1"/>
          <w:color w:val="auto"/>
        </w:rPr>
        <w:t>versa</w:t>
      </w:r>
      <w:r>
        <w:rPr>
          <w:rFonts w:ascii="Arial" w:cs="Arial" w:eastAsia="Arial" w:hAnsi="Arial"/>
          <w:sz w:val="18"/>
          <w:szCs w:val="18"/>
          <w:color w:val="auto"/>
        </w:rPr>
        <w:t>, or for any other reason)</w:t>
      </w:r>
    </w:p>
    <w:p>
      <w:pPr>
        <w:spacing w:after="0" w:line="94" w:lineRule="exact"/>
        <w:rPr>
          <w:rFonts w:ascii="Arial" w:cs="Arial" w:eastAsia="Arial" w:hAnsi="Arial"/>
          <w:sz w:val="18"/>
          <w:szCs w:val="18"/>
          <w:color w:val="auto"/>
        </w:rPr>
      </w:pPr>
    </w:p>
    <w:p>
      <w:pPr>
        <w:ind w:left="460" w:hanging="344"/>
        <w:spacing w:after="0" w:line="238" w:lineRule="auto"/>
        <w:tabs>
          <w:tab w:leader="none" w:pos="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Conversion of ADSs of one series for ADSs of another series (e.g., upon conversion of Partial Entitlement ADSs for Full Entitlement ADSs, or upon conversion of Restricted ADSs (each as defined in the Deposit Agreement) 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Up to US$0.05 per ADS (or fraction thereof)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transferred</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Up to US$0.05 per ADS (or fraction thereof)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converted</w:t>
      </w:r>
    </w:p>
    <w:p>
      <w:pPr>
        <w:sectPr>
          <w:pgSz w:w="11900" w:h="16838" w:orient="portrait"/>
          <w:cols w:equalWidth="0" w:num="2">
            <w:col w:w="6420" w:space="420"/>
            <w:col w:w="4300"/>
          </w:cols>
          <w:pgMar w:left="320" w:top="459" w:right="43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17" w:lineRule="exact"/>
        <w:rPr>
          <w:sz w:val="20"/>
          <w:szCs w:val="20"/>
          <w:color w:val="auto"/>
        </w:rPr>
      </w:pPr>
    </w:p>
    <w:p>
      <w:pPr>
        <w:ind w:left="880" w:hanging="224"/>
        <w:spacing w:after="0"/>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17" w:lineRule="exact"/>
        <w:rPr>
          <w:rFonts w:ascii="Arial" w:cs="Arial" w:eastAsia="Arial" w:hAnsi="Arial"/>
          <w:sz w:val="18"/>
          <w:szCs w:val="18"/>
          <w:color w:val="auto"/>
        </w:rPr>
      </w:pPr>
    </w:p>
    <w:p>
      <w:pPr>
        <w:jc w:val="both"/>
        <w:ind w:left="880" w:right="20" w:hanging="224"/>
        <w:spacing w:after="0"/>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108" w:lineRule="exact"/>
        <w:rPr>
          <w:rFonts w:ascii="Arial" w:cs="Arial" w:eastAsia="Arial" w:hAnsi="Arial"/>
          <w:sz w:val="18"/>
          <w:szCs w:val="18"/>
          <w:color w:val="auto"/>
        </w:rPr>
      </w:pPr>
    </w:p>
    <w:p>
      <w:pPr>
        <w:ind w:left="880" w:hanging="224"/>
        <w:spacing w:after="0"/>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102"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in connection with compliance with exchange control regulations and other regulatory requirements applicable to Class A ordinary shares, ADSs and ADRs; and</w:t>
      </w:r>
    </w:p>
    <w:p>
      <w:pPr>
        <w:spacing w:after="0" w:line="102" w:lineRule="exact"/>
        <w:rPr>
          <w:rFonts w:ascii="Arial" w:cs="Arial" w:eastAsia="Arial" w:hAnsi="Arial"/>
          <w:sz w:val="18"/>
          <w:szCs w:val="18"/>
          <w:color w:val="auto"/>
        </w:rPr>
      </w:pPr>
    </w:p>
    <w:p>
      <w:pPr>
        <w:ind w:left="880" w:right="340" w:hanging="224"/>
        <w:spacing w:after="0" w:line="246"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97"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1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and Termination</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of ADSs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jc w:val="both"/>
        <w:ind w:left="120" w:right="260" w:firstLine="551"/>
        <w:spacing w:after="0"/>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Class A ordinary shares represented by your ADSs (except as permitted by law).</w:t>
      </w:r>
    </w:p>
    <w:p>
      <w:pPr>
        <w:spacing w:after="0" w:line="203"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03" w:lineRule="exact"/>
        <w:rPr>
          <w:sz w:val="20"/>
          <w:szCs w:val="20"/>
          <w:color w:val="auto"/>
        </w:rPr>
      </w:pPr>
    </w:p>
    <w:p>
      <w:pPr>
        <w:ind w:left="120" w:right="240" w:firstLine="551"/>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Class A ordinary shares represented by ADSs and to direct the deposit of such Class A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Books of Depositary</w:t>
      </w:r>
    </w:p>
    <w:p>
      <w:pPr>
        <w:spacing w:after="0" w:line="234" w:lineRule="exact"/>
        <w:rPr>
          <w:sz w:val="20"/>
          <w:szCs w:val="20"/>
          <w:color w:val="auto"/>
        </w:rPr>
      </w:pPr>
    </w:p>
    <w:p>
      <w:pPr>
        <w:jc w:val="both"/>
        <w:ind w:left="120" w:right="60" w:firstLine="551"/>
        <w:spacing w:after="0"/>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234" w:lineRule="exact"/>
        <w:rPr>
          <w:sz w:val="20"/>
          <w:szCs w:val="20"/>
          <w:color w:val="auto"/>
        </w:rPr>
      </w:pPr>
    </w:p>
    <w:p>
      <w:pPr>
        <w:ind w:left="120" w:right="280" w:firstLine="551"/>
        <w:spacing w:after="0" w:line="261" w:lineRule="auto"/>
        <w:rPr>
          <w:sz w:val="20"/>
          <w:szCs w:val="20"/>
          <w:color w:val="auto"/>
        </w:rPr>
      </w:pPr>
      <w:r>
        <w:rPr>
          <w:rFonts w:ascii="Arial" w:cs="Arial" w:eastAsia="Arial" w:hAnsi="Arial"/>
          <w:sz w:val="17"/>
          <w:szCs w:val="17"/>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17" w:lineRule="exact"/>
        <w:rPr>
          <w:sz w:val="20"/>
          <w:szCs w:val="20"/>
          <w:color w:val="auto"/>
        </w:rPr>
      </w:pPr>
    </w:p>
    <w:p>
      <w:pPr>
        <w:ind w:left="880" w:right="220" w:hanging="224"/>
        <w:spacing w:after="0" w:line="246"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102"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02" w:lineRule="exact"/>
        <w:rPr>
          <w:rFonts w:ascii="Arial" w:cs="Arial" w:eastAsia="Arial" w:hAnsi="Arial"/>
          <w:sz w:val="18"/>
          <w:szCs w:val="18"/>
          <w:color w:val="auto"/>
        </w:rPr>
      </w:pPr>
    </w:p>
    <w:p>
      <w:pPr>
        <w:ind w:left="880" w:right="80" w:hanging="224"/>
        <w:spacing w:after="0" w:line="237"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accurately determine the lawfulness or practicality of any action, for the content of any document forwarded to you on our behalf or for the accuracy of any translation of such a document, for the investment risks associated with investing in Class A ordinary shares, for the validity or worth of the Class A ordinary shares, for any tax consequences that result from the ownership of ADSs or other deposited property, for the credit-worthiness of any third party, for allowing any rights to lapse under the terms of the deposit agreement, for the timeliness of any of our notices or for our failure to give notice or for any act or omission of or information provided by DTC or any DTC participant.</w:t>
      </w:r>
    </w:p>
    <w:p>
      <w:pPr>
        <w:spacing w:after="0" w:line="110" w:lineRule="exact"/>
        <w:rPr>
          <w:rFonts w:ascii="Arial" w:cs="Arial" w:eastAsia="Arial" w:hAnsi="Arial"/>
          <w:sz w:val="18"/>
          <w:szCs w:val="18"/>
          <w:color w:val="auto"/>
        </w:rPr>
      </w:pPr>
    </w:p>
    <w:p>
      <w:pPr>
        <w:ind w:left="880" w:right="760" w:hanging="224"/>
        <w:spacing w:after="0" w:line="246"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and the depositary also disclaim any liability for any action or inaction of any clearing or settlement system (and any participant thereof) for the ADSs or deposited securities.</w:t>
      </w:r>
    </w:p>
    <w:p>
      <w:pPr>
        <w:spacing w:after="0" w:line="102" w:lineRule="exact"/>
        <w:rPr>
          <w:rFonts w:ascii="Arial" w:cs="Arial" w:eastAsia="Arial" w:hAnsi="Arial"/>
          <w:sz w:val="18"/>
          <w:szCs w:val="18"/>
          <w:color w:val="auto"/>
        </w:rPr>
      </w:pPr>
    </w:p>
    <w:p>
      <w:pPr>
        <w:ind w:left="880" w:right="1000" w:hanging="224"/>
        <w:spacing w:after="0" w:line="246"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depositary shall not be liable for acts or omissions of any predecessor or successor depositary, except in certain circumstances described in the deposit agreement.</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17"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our articles of association, or any provision of or governing the securities on deposit, or by reason of any act of God or war or other circumstances beyond our control.</w:t>
      </w:r>
    </w:p>
    <w:p>
      <w:pPr>
        <w:spacing w:after="0" w:line="107"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102" w:lineRule="exact"/>
        <w:rPr>
          <w:rFonts w:ascii="Arial" w:cs="Arial" w:eastAsia="Arial" w:hAnsi="Arial"/>
          <w:sz w:val="18"/>
          <w:szCs w:val="18"/>
          <w:color w:val="auto"/>
        </w:rPr>
      </w:pPr>
    </w:p>
    <w:p>
      <w:pPr>
        <w:ind w:left="880" w:right="300" w:hanging="224"/>
        <w:spacing w:after="0" w:line="261" w:lineRule="auto"/>
        <w:tabs>
          <w:tab w:leader="none" w:pos="8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91" w:lineRule="exact"/>
        <w:rPr>
          <w:rFonts w:ascii="Arial" w:cs="Arial" w:eastAsia="Arial" w:hAnsi="Arial"/>
          <w:sz w:val="17"/>
          <w:szCs w:val="17"/>
          <w:color w:val="auto"/>
        </w:rPr>
      </w:pPr>
    </w:p>
    <w:p>
      <w:pPr>
        <w:jc w:val="both"/>
        <w:ind w:left="880" w:right="520" w:hanging="224"/>
        <w:spacing w:after="0"/>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or beneficial holder to benefit from any distribution, offering, right or other benefit that is made available to holders of Class A ordinary shares but is not, under the terms of the deposit agreement, made available to you.</w:t>
      </w:r>
    </w:p>
    <w:p>
      <w:pPr>
        <w:spacing w:after="0" w:line="108" w:lineRule="exact"/>
        <w:rPr>
          <w:rFonts w:ascii="Arial" w:cs="Arial" w:eastAsia="Arial" w:hAnsi="Arial"/>
          <w:sz w:val="18"/>
          <w:szCs w:val="18"/>
          <w:color w:val="auto"/>
        </w:rPr>
      </w:pPr>
    </w:p>
    <w:p>
      <w:pPr>
        <w:ind w:left="880" w:right="200" w:hanging="224"/>
        <w:spacing w:after="0" w:line="246"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102"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17" w:lineRule="exact"/>
        <w:rPr>
          <w:rFonts w:ascii="Arial" w:cs="Arial" w:eastAsia="Arial" w:hAnsi="Arial"/>
          <w:sz w:val="18"/>
          <w:szCs w:val="18"/>
          <w:color w:val="auto"/>
        </w:rPr>
      </w:pPr>
    </w:p>
    <w:p>
      <w:pPr>
        <w:ind w:left="880" w:right="240" w:hanging="224"/>
        <w:spacing w:after="0" w:line="246"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and you as ADS holder.</w:t>
      </w:r>
    </w:p>
    <w:p>
      <w:pPr>
        <w:spacing w:after="0" w:line="102"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110" w:lineRule="exact"/>
        <w:rPr>
          <w:rFonts w:ascii="Arial" w:cs="Arial" w:eastAsia="Arial" w:hAnsi="Arial"/>
          <w:sz w:val="18"/>
          <w:szCs w:val="18"/>
          <w:color w:val="auto"/>
        </w:rPr>
      </w:pPr>
    </w:p>
    <w:p>
      <w:pPr>
        <w:ind w:left="880" w:right="140" w:hanging="224"/>
        <w:spacing w:after="0" w:line="274" w:lineRule="auto"/>
        <w:tabs>
          <w:tab w:leader="none" w:pos="8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We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157"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84" w:lineRule="exact"/>
        <w:rPr>
          <w:sz w:val="20"/>
          <w:szCs w:val="20"/>
          <w:color w:val="auto"/>
        </w:rPr>
      </w:pPr>
    </w:p>
    <w:p>
      <w:pPr>
        <w:jc w:val="both"/>
        <w:ind w:left="120" w:right="240" w:firstLine="551"/>
        <w:spacing w:after="0" w:line="250" w:lineRule="auto"/>
        <w:rPr>
          <w:sz w:val="20"/>
          <w:szCs w:val="20"/>
          <w:color w:val="auto"/>
        </w:rPr>
      </w:pPr>
      <w:r>
        <w:rPr>
          <w:rFonts w:ascii="Arial" w:cs="Arial" w:eastAsia="Arial" w:hAnsi="Arial"/>
          <w:sz w:val="18"/>
          <w:szCs w:val="18"/>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Taxes</w:t>
      </w:r>
    </w:p>
    <w:p>
      <w:pPr>
        <w:spacing w:after="0" w:line="234"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5" w:lineRule="exact"/>
        <w:rPr>
          <w:sz w:val="20"/>
          <w:szCs w:val="20"/>
          <w:color w:val="auto"/>
        </w:rPr>
      </w:pPr>
    </w:p>
    <w:p>
      <w:pPr>
        <w:ind w:left="120" w:right="240" w:firstLine="551"/>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Conversion</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60" w:firstLine="551"/>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02" w:lineRule="exact"/>
        <w:rPr>
          <w:sz w:val="20"/>
          <w:szCs w:val="20"/>
          <w:color w:val="auto"/>
        </w:rPr>
      </w:pPr>
    </w:p>
    <w:p>
      <w:pPr>
        <w:ind w:left="880" w:right="720" w:hanging="224"/>
        <w:spacing w:after="0" w:line="246" w:lineRule="auto"/>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Law/Waiver of Jury Trial</w:t>
      </w:r>
    </w:p>
    <w:p>
      <w:pPr>
        <w:spacing w:after="0" w:line="234" w:lineRule="exact"/>
        <w:rPr>
          <w:sz w:val="20"/>
          <w:szCs w:val="20"/>
          <w:color w:val="auto"/>
        </w:rPr>
      </w:pPr>
    </w:p>
    <w:p>
      <w:pPr>
        <w:jc w:val="both"/>
        <w:ind w:left="120" w:right="420" w:firstLine="551"/>
        <w:spacing w:after="0"/>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81" w:lineRule="exact"/>
        <w:rPr>
          <w:sz w:val="20"/>
          <w:szCs w:val="20"/>
          <w:color w:val="auto"/>
        </w:rPr>
      </w:pPr>
    </w:p>
    <w:p>
      <w:pPr>
        <w:ind w:left="120" w:right="420" w:firstLine="551"/>
        <w:spacing w:after="0" w:line="253" w:lineRule="auto"/>
        <w:rPr>
          <w:sz w:val="20"/>
          <w:szCs w:val="20"/>
          <w:color w:val="auto"/>
        </w:rPr>
      </w:pPr>
      <w:r>
        <w:rPr>
          <w:rFonts w:ascii="Arial" w:cs="Arial" w:eastAsia="Arial" w:hAnsi="Arial"/>
          <w:sz w:val="18"/>
          <w:szCs w:val="18"/>
          <w:b w:val="1"/>
          <w:bCs w:val="1"/>
          <w:color w:val="auto"/>
        </w:rPr>
        <w:t>AS A PARTY TO THE DEPOSIT AGREEMENT, YOU IRREVOCABLY WAIVE, TO THE FULLEST EXTENT PERMITTED BY APPLICABLE LAW, YOUR RIGHT TO TRIAL BY JURY IN ANY LEGAL PROCEEDING ARISING OUT OF THE DEPOSIT AGREEMENT OR THE ADRs AGAINST US AND/OR THE DEPOSITARY.</w:t>
      </w:r>
    </w:p>
    <w:p>
      <w:pPr>
        <w:spacing w:after="0" w:line="169"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b w:val="1"/>
          <w:bCs w:val="1"/>
          <w:i w:val="1"/>
          <w:iCs w:val="1"/>
          <w:color w:val="auto"/>
        </w:rPr>
        <w:t>The deposit agreement provides that, to the extent permitted by law, ADS holders waive the right to a jury trial of any claim they may have against us or the depositary arising out of or relating to our Class A ordinary shares, the ADSs or the deposit agreement, including any claim under U.S. federal securities laws. The waiver continues to apply to claims that arise during the period when a holder holds the ADSs, whether the ADS holder purchased the ADSs in this offering or secondary transactions, even if the ADS holder subsequently withdraws the underlying ordinary shares.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Jurisdiction</w:t>
      </w:r>
    </w:p>
    <w:p>
      <w:pPr>
        <w:spacing w:after="0" w:line="234" w:lineRule="exact"/>
        <w:rPr>
          <w:sz w:val="20"/>
          <w:szCs w:val="20"/>
          <w:color w:val="auto"/>
        </w:rPr>
      </w:pPr>
    </w:p>
    <w:p>
      <w:pPr>
        <w:ind w:left="120" w:right="320" w:firstLine="551"/>
        <w:spacing w:after="0" w:line="238" w:lineRule="auto"/>
        <w:rPr>
          <w:sz w:val="20"/>
          <w:szCs w:val="20"/>
          <w:color w:val="auto"/>
        </w:rPr>
      </w:pPr>
      <w:r>
        <w:rPr>
          <w:rFonts w:ascii="Arial" w:cs="Arial" w:eastAsia="Arial" w:hAnsi="Arial"/>
          <w:sz w:val="18"/>
          <w:szCs w:val="18"/>
          <w:color w:val="auto"/>
        </w:rPr>
        <w:t>We have agreed with the depositary that the United States District Court for the Southern District of New York (or, if the United States District Court for the Southern District of New York lacks subject matter jurisdiction over a particular dispute, state courts in New York County, New York) shall have exclusive jurisdiction to hear and determine any dispute arising from or relating in any way to the deposit agreement, including those arising from the Securities Act and the Exchange Act.</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deposit agreement provides that, by holding an ADS or an interest therein, you irrevocably agree that any legal suit, action or proceeding against or involving us or the depositary arising out of or related in any way to the deposit agreement, the ADSs, American depositary receipts or the transactions contemplated thereby or by virtue of ownership thereof,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including those arising from the Securities Act and the Exchange Act. The deposit agreement also provides that the foregoing agreement and waiver shall survive your ownership of ADSs or interests therein.</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Upon completion of this offering, we will have ADSs outstanding, representing approximately % of our outstanding ordinary shares, assuming the underwriters do not exercise their over-allotment option to purchase additional ADSs. All of the ADSs sold in this offering will be freely transferable by persons other than by our “affiliates” without restriction or further registration under the Securities Act. Sales of substantial amounts of the ADSs in the public market could adversely affect prevailing market prices of the ADSs. Prior to this offering, there has been no public market for our ordinary shares or the ADSs. We intend to apply to list the ADSs on the New York Stock Exchange, but we cannot assure you that a regular trading market will develop in the ADSs. We do not expect that a trading market will develop for our ordinary shares not represented by the ADSs.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[have agreed], for a period of 180 days after the date of this prospectus, [not to offer, sell, contract to sell, pledge, grant any option to purchase, make any short sale, lend or otherwise dispose of, except in this offering, any of our ordinary shares or the ADSs or securities that are substantially similar to our ordinary shares or the ADSs, including but not limited to any options or warrants to purchase our ordinary shares, the ADSs or any securities that are convertible into or exchangeable for, or that represent the right to receive, our ordinary shares, the ADSs or any such substantially similar securities (other than pursuant to employee stock option plans existing on, or upon the conversion or exchange of convertible or exchangeable securities outstanding as of, the date such lock-up agreement was executed),] without the prior written consent of the representatives of the underwriters.</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Furthermore, [each of our directors, executive officers and existing shareholders] has also entered into a similar lock-up agreement for a period of 180 days from the date of this prospectus, subject to certain exceptions, with respect to our ordinary shares, the ADSs and securities that are substantially similar to our ordinary shares or the ADSs. These parties collectively own [all] of our issued and outstanding ordinary shares, without giving effect to this offering.</w:t>
      </w:r>
    </w:p>
    <w:p>
      <w:pPr>
        <w:spacing w:after="0" w:line="205"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All of our ordinary shares that will be issued and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04"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 of the then issued and outstanding ordinary shares of the same class, including ordinary shares represented by ADSs, which</w:t>
      </w:r>
    </w:p>
    <w:p>
      <w:pPr>
        <w:ind w:left="880" w:right="300"/>
        <w:spacing w:after="0" w:line="246" w:lineRule="auto"/>
        <w:rPr>
          <w:sz w:val="20"/>
          <w:szCs w:val="20"/>
          <w:color w:val="auto"/>
        </w:rPr>
      </w:pPr>
      <w:r>
        <w:rPr>
          <w:rFonts w:ascii="Arial" w:cs="Arial" w:eastAsia="Arial" w:hAnsi="Arial"/>
          <w:sz w:val="18"/>
          <w:szCs w:val="18"/>
          <w:color w:val="auto"/>
        </w:rPr>
        <w:t>immediately after the completion of this offering will equal Class A ordinary shares, assuming the underwriters do not exercise their over-allotment option; or</w:t>
      </w:r>
    </w:p>
    <w:p>
      <w:pPr>
        <w:spacing w:after="0" w:line="102" w:lineRule="exact"/>
        <w:rPr>
          <w:sz w:val="20"/>
          <w:szCs w:val="20"/>
          <w:color w:val="auto"/>
        </w:rPr>
      </w:pPr>
    </w:p>
    <w:p>
      <w:pPr>
        <w:ind w:left="880" w:right="240" w:hanging="224"/>
        <w:spacing w:after="0" w:line="246" w:lineRule="auto"/>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97"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left="120" w:right="380" w:firstLine="551"/>
        <w:spacing w:after="0" w:line="238"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TAXATION</w:t>
      </w:r>
    </w:p>
    <w:p>
      <w:pPr>
        <w:spacing w:after="0" w:line="21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i w:val="1"/>
          <w:iCs w:val="1"/>
          <w:color w:val="auto"/>
        </w:rPr>
        <w:t>The following summary of the Cayman Islands, PRC and U.S. federal income tax considerations of an investment in the ADSs or Class A ordinary shares is based upon laws and relevant interpretations thereof in effect as of the date of this registration statement,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Maples and Calder (Hong Kong) LLP, our Cayman Islands counsel; to the extent it relates to PRC tax law, it is the opinion of Han Kun Law Offices, our PRC counsel.</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Cayman Islands Taxation</w:t>
      </w:r>
    </w:p>
    <w:p>
      <w:pPr>
        <w:spacing w:after="0" w:line="23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the ADSs, nor will gains derived from the disposal of our Class A ordinary shares or the ADSs be subject to Cayman Islands income or corporation tax.</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People’s Republic of China Taxation</w:t>
      </w:r>
    </w:p>
    <w:p>
      <w:pPr>
        <w:spacing w:after="0" w:line="234"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the SAT Circular 82, the SAT issued the SAT Bulletin 45, which became effective since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60"/>
        <w:spacing w:after="0" w:line="274" w:lineRule="auto"/>
        <w:rPr>
          <w:sz w:val="20"/>
          <w:szCs w:val="20"/>
          <w:color w:val="auto"/>
        </w:rPr>
      </w:pPr>
      <w:r>
        <w:rPr>
          <w:rFonts w:ascii="Arial" w:cs="Arial" w:eastAsia="Arial" w:hAnsi="Arial"/>
          <w:sz w:val="17"/>
          <w:szCs w:val="17"/>
          <w:color w:val="auto"/>
        </w:rPr>
        <w:t>September 2011, to provide more guidance on the implementation of the SAT Circular 82. The SAT Bulletin 45 provides for detailed procedures and administration with respect to determination of residence status and administration of post-determination matters.]</w:t>
      </w:r>
    </w:p>
    <w:p>
      <w:pPr>
        <w:spacing w:after="0" w:line="17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We believe that AiHuiShou International Co. Ltd. is not a PRC resident enterprise for PRC tax purposes. AiHuiShou International Co. Ltd. is not controlled by a PRC enterprise or PRC enterprise group and we do not believe that AiHuiShou International Co. Ltd. meets all of the conditions above. AiHuiShou International Co. Ltd.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[Therefore, we do not believe that AiHuiShou International Co. Ltd. meets all of these conditions or AiHuiShou International Co. Ltd. is a PRC resident enterprise for PRC tax purposes even if the conditions for “de facto management body” prescribed in the SAT Circular 82 are applicable.]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20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If the PRC tax authorities determine that AiHuiShou International Co. Ltd.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Class A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AiHuiShou International Co. Ltd. would be able to claim the benefits of any tax treaties between their country of tax residence and the PRC in the event that AiHuiShou International Co. Ltd. is treated as a PRC resident enterprise.</w:t>
      </w:r>
    </w:p>
    <w:p>
      <w:pPr>
        <w:spacing w:after="0" w:line="206" w:lineRule="exact"/>
        <w:rPr>
          <w:sz w:val="20"/>
          <w:szCs w:val="20"/>
          <w:color w:val="auto"/>
        </w:rPr>
      </w:pPr>
    </w:p>
    <w:p>
      <w:pPr>
        <w:ind w:left="120" w:right="20" w:firstLine="551"/>
        <w:spacing w:after="0" w:line="235" w:lineRule="auto"/>
        <w:rPr>
          <w:sz w:val="20"/>
          <w:szCs w:val="20"/>
          <w:color w:val="auto"/>
        </w:rPr>
      </w:pPr>
      <w:r>
        <w:rPr>
          <w:rFonts w:ascii="Arial" w:cs="Arial" w:eastAsia="Arial" w:hAnsi="Arial"/>
          <w:sz w:val="18"/>
          <w:szCs w:val="18"/>
          <w:color w:val="auto"/>
        </w:rPr>
        <w:t>Provided that our Cayman Islands holding company, AiHuiShou International Co. Ltd., is not deemed to be a PRC resident enterprise, holders of the ADSs and Class A ordinary shares who are not PRC residents will not be subject to PRC income tax on dividends distributed by us or gains realized from the sale or other disposition of our shares or ADSs. However, under SAT Public Notice 7 and SAT Public Notice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owns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Public Notice 7 and SAT Public Notice 37, and we may be required to expend valuable resources to comply with SAT Public Notice 7 and SAT Public Notice 37, or to establish that we should not be taxed under these circulars. See “Risk Factors—Risks Related to</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Doing Business in China—We face uncertainty with respect to indirect transfers of equity interests in PRC resident enterprises by their non-PRC holding companies.”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3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The following discussion is a summary of U.S. federal income tax considerations generally applicable to the ownership and disposition of the ADSs or Class A ordinary shares acquired by U.S. Holders (as defined below) pursuant to this offering. This discussion applies only to U.S. Holders that hold the ADSs or Class A ordinary shares as capital assets (generally, property held for investment). This discussion is based on the U.S. Internal Revenue Code of 1986, as amended (the “Code”), U.S. Treasury regulations promulgated thereunder (the “Regulations”), published positions of the Internal Revenue Service (the “IRS”), court decisions and other applicable authorities, all as currently in effect as of the date hereof and all of which are subject to change or differing interpretations (possibly with retroactive effect). There can be no assurance that the IRS or a court will not take a contrary position with respect to any U.S. federal income tax considerations described below.</w:t>
      </w:r>
    </w:p>
    <w:p>
      <w:pPr>
        <w:spacing w:after="0" w:line="208"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This discussion does not address all U.S. federal income tax considerations that may be applicable to particular investors in light of their individual investment circumstances, including investors subject to special rules under U.S. federal income tax law, such as:</w:t>
      </w:r>
    </w:p>
    <w:p>
      <w:pPr>
        <w:spacing w:after="0" w:line="102" w:lineRule="exact"/>
        <w:rPr>
          <w:sz w:val="20"/>
          <w:szCs w:val="20"/>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entities treated as partnerships for U.S. federal income tax purposes, S corporations or other pass-through entities;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dealers or traders in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that elect to mark their securities to market;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holding ADSs or ordinary shares as part of a straddle, conversion or other integrated transaction;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 and</w:t>
      </w:r>
    </w:p>
    <w:p>
      <w:pPr>
        <w:spacing w:after="0" w:line="117"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that actually or constructively own ADSs or Class A ordinary shares representing 10% or more of our stock (by vote or value).</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discussion does not address any U.S. state or local tax considerations, any U.S. federal estate, gift, alternative minimum tax or Medicare contribution tax considerations, or any non-U.S. tax considerations other than the discussion below relating to certain withholding rules and the U.S.-PRC income tax treaty (the “Treaty”).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discussion, a “U.S. Holder” is a beneficial owner of the ADSs or Class A ordinary shares that is, for U.S.</w:t>
      </w:r>
    </w:p>
    <w:p>
      <w:pPr>
        <w:ind w:left="120"/>
        <w:spacing w:after="0"/>
        <w:rPr>
          <w:sz w:val="20"/>
          <w:szCs w:val="20"/>
          <w:color w:val="auto"/>
        </w:rPr>
      </w:pPr>
      <w:r>
        <w:rPr>
          <w:rFonts w:ascii="Arial" w:cs="Arial" w:eastAsia="Arial" w:hAnsi="Arial"/>
          <w:sz w:val="18"/>
          <w:szCs w:val="18"/>
          <w:color w:val="auto"/>
        </w:rPr>
        <w:t>federal income tax purposes:</w:t>
      </w:r>
    </w:p>
    <w:p>
      <w:pPr>
        <w:spacing w:after="0" w:line="117" w:lineRule="exact"/>
        <w:rPr>
          <w:sz w:val="20"/>
          <w:szCs w:val="20"/>
          <w:color w:val="auto"/>
        </w:rPr>
      </w:pPr>
    </w:p>
    <w:p>
      <w:pPr>
        <w:ind w:left="880" w:hanging="224"/>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5480" w:right="1500" w:hanging="4824"/>
        <w:spacing w:after="0" w:line="418" w:lineRule="auto"/>
        <w:tabs>
          <w:tab w:leader="none" w:pos="8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corporation organized in or under the laws of the United States, any state thereof or the District of Columbia; 242</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17" w:lineRule="exact"/>
        <w:rPr>
          <w:rFonts w:ascii="Arial" w:cs="Arial" w:eastAsia="Arial" w:hAnsi="Arial"/>
          <w:sz w:val="18"/>
          <w:szCs w:val="18"/>
          <w:color w:val="auto"/>
        </w:rPr>
      </w:pPr>
    </w:p>
    <w:p>
      <w:pPr>
        <w:ind w:left="880" w:right="580" w:hanging="224"/>
        <w:spacing w:after="0" w:line="246"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court within the United States and the control of one or more U.S. persons or (2) has a valid election in effect under applicable Regulations to be treated as a U.S. person.</w:t>
      </w:r>
    </w:p>
    <w:p>
      <w:pPr>
        <w:spacing w:after="0" w:line="197" w:lineRule="exact"/>
        <w:rPr>
          <w:sz w:val="20"/>
          <w:szCs w:val="20"/>
          <w:color w:val="auto"/>
        </w:rPr>
      </w:pPr>
    </w:p>
    <w:p>
      <w:pPr>
        <w:jc w:val="both"/>
        <w:ind w:left="120" w:right="280" w:firstLine="551"/>
        <w:spacing w:after="0" w:line="238"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the ADSs or Class A ordinary shares, the tax treatment of a partner will generally depend on the status and the activities of the partnership. Partners in a partnership holding the ADSs or Class A ordinary shares should consult their tax advisors regarding the tax considerations of an investment in the ADSs or Class A ordinary shares.</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26" w:lineRule="exact"/>
        <w:rPr>
          <w:sz w:val="20"/>
          <w:szCs w:val="20"/>
          <w:color w:val="auto"/>
        </w:rPr>
      </w:pPr>
    </w:p>
    <w:p>
      <w:pPr>
        <w:ind w:left="120" w:firstLine="551"/>
        <w:spacing w:after="0" w:line="235" w:lineRule="auto"/>
        <w:rPr>
          <w:sz w:val="20"/>
          <w:szCs w:val="20"/>
          <w:color w:val="auto"/>
        </w:rPr>
      </w:pPr>
      <w:r>
        <w:rPr>
          <w:rFonts w:ascii="Arial" w:cs="Arial" w:eastAsia="Arial" w:hAnsi="Arial"/>
          <w:sz w:val="18"/>
          <w:szCs w:val="18"/>
          <w:color w:val="auto"/>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 We will be treated as owning our proportionate share of the assets and earning our proportionate share of the income of any other corporation in which we own, directly or indirectly, 25% or more (by value) of the stock. Although the law in this regard is not entirely clear, we treat our VIEs and their subsidiaries as being owned by us for U.S. federal income tax purposes because we control their management decisions and are entitled to substantially all of the economic benefits associated with them. As a result, we consolidate their results of operations in our consolidated U.S. GAAP financial statements. If it were determined, however, that we are not the owner of our VIEs and their subsidiaries for U.S. federal income tax purposes, we may be treated as a PFIC for the current taxable year and any future taxable year. Assuming that we are the owner of our VIEs and their subsidiaries for U.S. federal income tax purposes, and, based upon our current and projected income and assets, including the expected cash proceeds from this offering, and projections as to the value of our assets, taking into account the projected market value of our ADSs following this offering, we do not presently expect to be a PFIC for the current taxable year or the foreseeable future.</w:t>
      </w:r>
    </w:p>
    <w:p>
      <w:pPr>
        <w:spacing w:after="0" w:line="213"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 of our ADSs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including cash raised in this offering.</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080"/>
          </w:cols>
          <w:pgMar w:left="320" w:top="459" w:right="4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If we are classified as a PFIC for any taxable year during which a U.S. Holder holds our ADSs or Class A ordinary shares, the PFIC tax rules discussed below under “—Passive Foreign Investment Company Rules” will generally apply to such U.S. Holder for such taxable year and, unless the U.S. Holder makes a “mark-to-market” election, will apply in future years even if we cease to be a PFIC. The discussion below under “—Dividends” and “—Sale or Other Disposition of ADSs or Class A Ordinary Shares” assumes that we will not be classified as a PFIC for U.S. federal income tax purposes. The U.S. federal income tax rules that will apply if we are classified as a PFIC for the current taxable year or any subsequent taxable year are generally discussed below under “—Passive Foreign Investment Company Rules.”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120" w:right="200" w:firstLine="551"/>
        <w:spacing w:after="0" w:line="236" w:lineRule="auto"/>
        <w:rPr>
          <w:sz w:val="20"/>
          <w:szCs w:val="20"/>
          <w:color w:val="auto"/>
        </w:rPr>
      </w:pPr>
      <w:r>
        <w:rPr>
          <w:rFonts w:ascii="Arial" w:cs="Arial" w:eastAsia="Arial" w:hAnsi="Arial"/>
          <w:sz w:val="18"/>
          <w:szCs w:val="18"/>
          <w:color w:val="auto"/>
        </w:rPr>
        <w:t>The gross amount of any distribution to a U.S. Holder with respect to the ADSs or Class A ordinary shares will generally be included in such holder’s gross income as ordinary dividend income on the date actually or constructively received by such holder, in the case of Class A ordinary shares, or by the depositary, in the case of ADSs, to the extent that the distribution is paid out of our current or accumulated earnings and profits (as determined under U.S. federal income tax principles). We do not intend to calculate our earnings and profits under U.S. federal income tax principles. Therefore, U.S. Holders should expect that any distribution from us will generally be reported as a dividend for U.S. federal income tax purposes. The amount of such dividend will include amounts withheld by us or our paying agent in respect of any foreign taxes. Any dividend from us will not be eligible for the dividends-received deduction generally allowed under the Code to qualifying corporations in respect of dividends received from U.S. corporations.</w:t>
      </w:r>
    </w:p>
    <w:p>
      <w:pPr>
        <w:spacing w:after="0" w:line="2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Dividends received by individuals and certain other non-corporate U.S. Holders may constitute “qualified dividend income” that is subject to tax at the lower applicable capital gains rate provided that (1) the ADSs or Class A ordinary shares on which the dividends are paid are readily tradable on an established securities market in the United States or we are eligible for benefits of an approved comprehensive income tax treaty with the United States, (2) we are neither a PFIC nor treated as such with respect to a U.S. Holder for either our taxable year in which the dividend was paid or the preceding taxable year, and (3) certain holding period requirements are met. Our ADSs, but not our Class A ordinary shares, are expected to be listed on the New York Stock Exchange so we anticipate that our ADSs should qualify as readily tradable on an established securities market in the United States, although there can be no assurances in this regard. If we are treated as a “resident enterprise” for PRC tax purposes under the Enterprise Income Tax Law, we may be eligible for the benefits of the Treaty. U.S. Holders should consult their tax advisors regarding the availability of the lower capital gains rate applicable to qualified dividend income for dividends paid with respect to the ADSs or Class A ordinary shares (including rules relating to foreign tax credit limitations).</w:t>
      </w:r>
    </w:p>
    <w:p>
      <w:pPr>
        <w:spacing w:after="0" w:line="205" w:lineRule="exact"/>
        <w:rPr>
          <w:sz w:val="20"/>
          <w:szCs w:val="20"/>
          <w:color w:val="auto"/>
        </w:rPr>
      </w:pPr>
    </w:p>
    <w:p>
      <w:pPr>
        <w:ind w:left="120" w:right="60" w:firstLine="551"/>
        <w:spacing w:after="0" w:line="236" w:lineRule="auto"/>
        <w:rPr>
          <w:sz w:val="20"/>
          <w:szCs w:val="20"/>
          <w:color w:val="auto"/>
        </w:rPr>
      </w:pPr>
      <w:r>
        <w:rPr>
          <w:rFonts w:ascii="Arial" w:cs="Arial" w:eastAsia="Arial" w:hAnsi="Arial"/>
          <w:sz w:val="18"/>
          <w:szCs w:val="18"/>
          <w:color w:val="auto"/>
        </w:rPr>
        <w:t>Dividends from us will generally constitute non-U.S. source income and will be treated as “passive category income” for foreign tax credit limitation purposes. In the event that we are deemed to be a PRC resident enterprise under the Enterprise Income Tax Law, U.S. Holders may be subject to PRC withholding taxes on dividends paid, if any, on our ADSs or Class A ordinary shares. U.S. Holders may be eligible, subject to a number of complex limitations, to claim a foreign tax credit in respect of any nonrefundable foreign withholding tax imposed on dividends received on our ADSs or Class A ordinary shares. If a U.S. Holder does not elect to claim a foreign tax credit for foreign taxes withheld, such holder may instead claim a deduction for U.S. federal income tax purposes in respect of such taxes, but only for a year in which such holder elects to do so for all creditable foreign income taxes. The rules governing the foreign tax credit are complex. U.S. Holders should consult their tax advisors regarding the availability of the foreign tax credit under their particular circumstances.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Disposition of ADSs or Class A Ordinary Shares</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A U.S. Holder will generally recognize gain or loss on any sale or other disposition of our ADSs or Class A ordinary shares equal to the difference between the amount realized for such ADSs or Class A ordinary shares and such holder’s tax basis in such ADSs or Class A ordinary shares. Such gain or loss will generally be capital gain or loss. Individuals and certain other non-corporate U.S. Holders who have held such ADSs or Class A ordinary shares for more than one year will generally be eligible for a reduced rate of taxation. The deductibility of capital losses is subject to limitations. Any such gain or loss recognized by a U.S. Holder will generally be treated as U.S.-source gain or loss for foreign tax credit purposes. However, if we are deemed to be a PRC resident enterprise under the PRC Enterprise Income Tax Law and PRC tax is imposed on any gain, and if a U.S. Holder is eligible for the benefits of the Treaty, such holder may elect to treat such gain as PRC-source gain under the Treaty. If a U.S. Holder is not eligible for the benefits of the Treaty or does not elect to treat any gain as PRC-source gain, then such holder would generally not be able to use any foreign tax credit arising from any PRC tax imposed on the disposition of our ADSs or Class A ordinary shares unless such credit can be applied (subject to applicable limitations) against tax due on other income in the same category treated as derived from non-U.S. sources.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If we are classified as a PFIC for any taxable year during which a U.S. Holder holds our ADSs or Class A ordinary shares, such holder will be subject to special tax rules with respect to any “excess distribution” that such holder receives and any gain such holder recognizes from a sale or other disposition (including a pledge) of our ADSs or Class A ordinary shares, unless such holder makes a “mark-to-market” election as discussed below. Distributions received by a U.S. Holder in a taxable year that are greater than 125% of the average annual distributions such holder received during the shorter of the three preceding taxable years or such holder’s holding period for the ADSs or Class A ordinary shares will be treated as an excess distribution. Under these special tax rules:</w:t>
      </w:r>
    </w:p>
    <w:p>
      <w:pPr>
        <w:spacing w:after="0" w:line="110" w:lineRule="exact"/>
        <w:rPr>
          <w:sz w:val="20"/>
          <w:szCs w:val="20"/>
          <w:color w:val="auto"/>
        </w:rPr>
      </w:pPr>
    </w:p>
    <w:p>
      <w:pPr>
        <w:ind w:left="880" w:right="300" w:hanging="224"/>
        <w:spacing w:after="0" w:line="246"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Class A ordinary shares;</w:t>
      </w:r>
    </w:p>
    <w:p>
      <w:pPr>
        <w:spacing w:after="0" w:line="102"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amounts allocated to the taxable year of the distribution or gain and any taxable years in the U.S. Holder’s holding period prior to the first taxable year in which we are classified as a PFIC (a “pre-PFIC year”) will be taxable as ordinary income; and</w:t>
      </w:r>
    </w:p>
    <w:p>
      <w:pPr>
        <w:spacing w:after="0" w:line="102" w:lineRule="exact"/>
        <w:rPr>
          <w:rFonts w:ascii="Arial" w:cs="Arial" w:eastAsia="Arial" w:hAnsi="Arial"/>
          <w:sz w:val="18"/>
          <w:szCs w:val="18"/>
          <w:color w:val="auto"/>
        </w:rPr>
      </w:pPr>
    </w:p>
    <w:p>
      <w:pPr>
        <w:ind w:left="880" w:right="20" w:hanging="224"/>
        <w:spacing w:after="0"/>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amounts allocated to each prior taxable year, other than the taxable year of the distribution or gain or a pre-PFIC year, will be subject to tax at the highest tax rate in effect applicable to the U.S. Holder for that year, and the resulting tax will be increased by an additional tax equal to the interest charge on the resulting tax deemed deferred with respect to such years.</w:t>
      </w:r>
    </w:p>
    <w:p>
      <w:pPr>
        <w:spacing w:after="0" w:line="20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If we are a PFIC for any taxable year during which a U.S. Holder holds our ADSs or Class A ordinary shares and any of our non-U.S. subsidiaries or other corporate entities in which we own equity interests are also PFICs, such holder will be treated as owning a proportionate amount (by value) of the shares of each such non-U.S. subsidiary or other corporate entity classified as a PFIC for purposes of the application of these rules.</w:t>
      </w:r>
    </w:p>
    <w:p>
      <w:pPr>
        <w:spacing w:after="0" w:line="205"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A U.S. Holder of “marketable stock” (as defined below) in a PFIC may make a mark-to-market election for such stock of a PFIC to elect out of the tax treatment discussed above. If a U.S. Holder makes a valid mark-to-market election for the ADSs, the U.S. Holder will include in income each year that we are a PFIC an amount equal to the excess, if any, of the fair market value of the ADSs held as of the close of such holder’s taxable year over such holder’s adjusted basis in such ADSs. The U.S. Holder is allowed a deduction for the excess, if any, of such holder’s adjusted basis in the ADSs over their fair market value as of the close of the taxable year. However, such deductions are allowable only</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to the extent of any net mark-to-market gains on the ADSs included in the U.S. Holder’s income for prior taxable years. Amounts included in the U.S. Holder’s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that the amount of such loss does not exceed the net mark-to-market gains previously included for such ADSs. The U.S. Holder’s basis in the ADSs will be adjusted to reflect any such income or loss amounts. If a U.S. Holder makes a valid mark-to-market election, and we subsequently cease to be classified as a PFIC, such U.S. Holder will not be required to take into account the mark-to-market income or loss as described above during any period that we are not classified as a PFIC.</w:t>
      </w:r>
    </w:p>
    <w:p>
      <w:pPr>
        <w:spacing w:after="0" w:line="208"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Regulations. We expect that our ADSs, but not our Class A ordinary shares, will be treated as marketable stock upon their listing on the New York Stock Exchange, which is a qualified exchange for these purposes, and, consequently, assuming that the ADSs continue to be listed and are regularly traded, if a U.S. Holder holds our ADSs, it is expected that the mark-to-market election would be available to such holder with respect to the ADSs were we to be or become a PFIC. A mark-to-market election may not, however, be made with respect to Class A ordinary shares as they are not marketable stock. Accordingly, if we are a PFIC during any year in which a U.S. Holder holds our Class A ordinary shares, such holder will generally be subject to the special tax rules discussed above.</w:t>
      </w:r>
    </w:p>
    <w:p>
      <w:pPr>
        <w:spacing w:after="0" w:line="208"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because, as a technical matter, a mark-to-market election cannot be made for any lower-tier PFICs that we may own, a U.S. Holder that makes the mark-to-market election may continue to be subject to the PFIC rules with respect to such holder’s indirect interest in any investments held by us that are treated as an equity interest in a PFIC for U.S. federal income tax purposes.</w:t>
      </w:r>
    </w:p>
    <w:p>
      <w:pPr>
        <w:spacing w:after="0" w:line="203"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97"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a U.S. Holder owns our ADSs or Class A ordinary shares during any taxable year that we are a PFIC, such holder must generally file an annual IRS Form 8621. U.S. Holders should consult their tax advisors regarding the U.S. federal income tax consequences of owning and disposing of our ADSs or Class A ordinary shares if we are or become a PFIC.</w:t>
      </w:r>
    </w:p>
    <w:p>
      <w:pPr>
        <w:spacing w:after="0" w:line="181" w:lineRule="exact"/>
        <w:rPr>
          <w:sz w:val="20"/>
          <w:szCs w:val="20"/>
          <w:color w:val="auto"/>
        </w:rPr>
      </w:pPr>
    </w:p>
    <w:p>
      <w:pPr>
        <w:ind w:left="120" w:right="80" w:firstLine="551"/>
        <w:spacing w:after="0" w:line="247" w:lineRule="auto"/>
        <w:rPr>
          <w:sz w:val="20"/>
          <w:szCs w:val="20"/>
          <w:color w:val="auto"/>
        </w:rPr>
      </w:pPr>
      <w:r>
        <w:rPr>
          <w:rFonts w:ascii="Arial" w:cs="Arial" w:eastAsia="Arial" w:hAnsi="Arial"/>
          <w:sz w:val="18"/>
          <w:szCs w:val="18"/>
          <w:b w:val="1"/>
          <w:bCs w:val="1"/>
          <w:color w:val="auto"/>
        </w:rPr>
        <w:t>THE PRECEDING DISCUSSION OF U.S. FEDERAL INCOME TAX CONSIDERATIONS IS INTENDED FOR GENERAL INFORMATION ONLY AND DOES NOT CONSTITUTE TAX ADVICE. U.S. HOLDERS SHOULD CONSULT THEIR TAX ADVISORS AS TO THE U.S. FEDERAL, STATE, LOCAL AND NON-U.S. TAX CONSIDERATIONS TO THEM OF THE OWNERSHIP AND DISPOSITION OF THE ADSs AND ORDINARY SHARES IN THEIR PARTICULAR CIRCUMSTANCES.</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ADSs being offered. Subject to certain conditions, each underwriter has severally agreed to purchase the number of ADSs indicated in the following table. Goldman Sachs (Asia) L.L.C., BofA Securities, Inc. and China Renaissance Securities (Hong Kong) Limited are the representatives of the underwriters. The address of Goldman Sachs (Asia) L.L.C. is 68th Floor, Cheung Kong Center, 2 Queen’s Road Central, Hong Kong. The address of BofA Securities, Inc. is One Bryant Park, New York, NY 10036, United States. The address of China Renaissance Securities (Hong Kong) Limited is Units 8107-08, Level 81, International Commerce Centre, 1 Austin Road West, Kowloon, Hong Kong.</w:t>
      </w:r>
    </w:p>
    <w:p>
      <w:pPr>
        <w:spacing w:after="0" w:line="219" w:lineRule="exact"/>
        <w:rPr>
          <w:sz w:val="20"/>
          <w:szCs w:val="20"/>
          <w:color w:val="auto"/>
        </w:rPr>
      </w:pPr>
    </w:p>
    <w:p>
      <w:pPr>
        <w:ind w:left="120"/>
        <w:spacing w:after="0"/>
        <w:tabs>
          <w:tab w:leader="none" w:pos="992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ADSs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(Asia)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BofA Securities, Inc.</w:t>
      </w:r>
    </w:p>
    <w:p>
      <w:pPr>
        <w:ind w:left="120"/>
        <w:spacing w:after="0" w:line="234" w:lineRule="auto"/>
        <w:rPr>
          <w:sz w:val="20"/>
          <w:szCs w:val="20"/>
          <w:color w:val="auto"/>
        </w:rPr>
      </w:pPr>
      <w:r>
        <w:rPr>
          <w:rFonts w:ascii="Arial" w:cs="Arial" w:eastAsia="Arial" w:hAnsi="Arial"/>
          <w:sz w:val="18"/>
          <w:szCs w:val="18"/>
          <w:color w:val="auto"/>
        </w:rPr>
        <w:t>China Renaissance Securities (Hong Kong)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Guotai Junan Securities (Hong Kong) Limited</w:t>
      </w:r>
    </w:p>
    <w:p>
      <w:pPr>
        <w:ind w:left="120"/>
        <w:spacing w:after="0" w:line="235" w:lineRule="auto"/>
        <w:rPr>
          <w:sz w:val="20"/>
          <w:szCs w:val="20"/>
          <w:color w:val="auto"/>
        </w:rPr>
      </w:pPr>
      <w:r>
        <w:rPr>
          <w:rFonts w:ascii="Arial" w:cs="Arial" w:eastAsia="Arial" w:hAnsi="Arial"/>
          <w:sz w:val="18"/>
          <w:szCs w:val="18"/>
          <w:color w:val="auto"/>
        </w:rPr>
        <w:t>CLSA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Tiger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-1905</wp:posOffset>
            </wp:positionV>
            <wp:extent cx="7289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46" w:lineRule="exact"/>
        <w:rPr>
          <w:sz w:val="20"/>
          <w:szCs w:val="20"/>
          <w:color w:val="auto"/>
        </w:rPr>
      </w:pPr>
    </w:p>
    <w:p>
      <w:pPr>
        <w:ind w:left="120" w:right="320" w:firstLine="551"/>
        <w:spacing w:after="0"/>
        <w:rPr>
          <w:sz w:val="20"/>
          <w:szCs w:val="20"/>
          <w:color w:val="auto"/>
        </w:rPr>
      </w:pPr>
      <w:r>
        <w:rPr>
          <w:rFonts w:ascii="Arial" w:cs="Arial" w:eastAsia="Arial" w:hAnsi="Arial"/>
          <w:sz w:val="18"/>
          <w:szCs w:val="18"/>
          <w:color w:val="auto"/>
        </w:rPr>
        <w:t>The underwriting agreement provides that the obligations of the several underwriters to pay for and accept delivery of the ADSs offered by this prospectus are subject to certain conditions. The underwriters are committed to take and pay for all of the ADSs being offered, if any are taken, other than the ADSs covered by the option described below unless and until this option is exercised.</w:t>
      </w:r>
    </w:p>
    <w:p>
      <w:pPr>
        <w:spacing w:after="0" w:line="203"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Some of the underwriters are expected to make offers and sales both inside and outside the United States through their respective selling agents. Any offers or sales in the United States will be conducted by broker-dealers registered with the SEC. Goldman Sachs (Asia) L.L.C. will offer ADSs in the United States through its registered broker-dealer affiliate in the United States, Goldman Sachs &amp; Co. LLC. China Renaissance Securities (Hong Kong) Limited will offer ADSs in the United States through its SEC-registered broker-dealer affiliate in the United States, China Renaissance Securities (US) Inc. Guotai Junan Securities (Hong Kong) Limited and CLSA Limited are not broker-dealers registered with the SEC, and they may not make sales in the United States or to U.S. persons. Guotai Junan Securities (Hong Kong) Limited and CLSA Limited have agreed that they do not intend to, and will not, offer or sell any of our ADSs in the United States or to U.S. persons in connection with this offering. Tiger Brokers (NZ)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ADSs</w:t>
      </w:r>
    </w:p>
    <w:p>
      <w:pPr>
        <w:spacing w:after="0" w:line="229" w:lineRule="exact"/>
        <w:rPr>
          <w:sz w:val="20"/>
          <w:szCs w:val="20"/>
          <w:color w:val="auto"/>
        </w:rPr>
      </w:pPr>
    </w:p>
    <w:p>
      <w:pPr>
        <w:ind w:left="660"/>
        <w:spacing w:after="0"/>
        <w:tabs>
          <w:tab w:leader="none" w:pos="5980" w:val="left"/>
        </w:tabs>
        <w:rPr>
          <w:sz w:val="20"/>
          <w:szCs w:val="20"/>
          <w:color w:val="auto"/>
        </w:rPr>
      </w:pPr>
      <w:r>
        <w:rPr>
          <w:rFonts w:ascii="Arial" w:cs="Arial" w:eastAsia="Arial" w:hAnsi="Arial"/>
          <w:sz w:val="18"/>
          <w:szCs w:val="18"/>
          <w:color w:val="auto"/>
        </w:rPr>
        <w:t>The underwriters have an option to buy up to an additional</w:t>
      </w:r>
      <w:r>
        <w:rPr>
          <w:sz w:val="20"/>
          <w:szCs w:val="20"/>
          <w:color w:val="auto"/>
        </w:rPr>
        <w:tab/>
      </w:r>
      <w:r>
        <w:rPr>
          <w:rFonts w:ascii="Arial" w:cs="Arial" w:eastAsia="Arial" w:hAnsi="Arial"/>
          <w:sz w:val="18"/>
          <w:szCs w:val="18"/>
          <w:color w:val="auto"/>
        </w:rPr>
        <w:t>ADSs from us at the initial public offering price less the</w:t>
      </w:r>
    </w:p>
    <w:p>
      <w:pPr>
        <w:jc w:val="both"/>
        <w:ind w:left="120"/>
        <w:spacing w:after="0" w:line="261" w:lineRule="auto"/>
        <w:rPr>
          <w:sz w:val="20"/>
          <w:szCs w:val="20"/>
          <w:color w:val="auto"/>
        </w:rPr>
      </w:pPr>
      <w:r>
        <w:rPr>
          <w:rFonts w:ascii="Arial" w:cs="Arial" w:eastAsia="Arial" w:hAnsi="Arial"/>
          <w:sz w:val="17"/>
          <w:szCs w:val="17"/>
          <w:color w:val="auto"/>
        </w:rPr>
        <w:t>underwriting discounts and commissions. The underwriters may exercise this option solely to cover sales by the underwriters of a greater number of ADSs than the total number set forth in the table above. They may exercise that option for 30 days. If any ADSs are purchased pursuant to this option, the underwriters will severally purchase ADSs in approximately the same proportion as set forth in the table above.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ADS and total underwriting discounts and commissions to be paid to the underwriters by us.</w:t>
      </w:r>
    </w:p>
    <w:tbl>
      <w:tblPr>
        <w:tblLayout w:type="fixed"/>
        <w:tblInd w:w="120" w:type="dxa"/>
        <w:tblCellMar>
          <w:top w:w="0" w:type="dxa"/>
          <w:left w:w="0" w:type="dxa"/>
          <w:bottom w:w="0" w:type="dxa"/>
          <w:right w:w="0" w:type="dxa"/>
        </w:tblCellMar>
      </w:tblPr>
      <w:tr>
        <w:trPr>
          <w:trHeight w:val="217"/>
        </w:trPr>
        <w:tc>
          <w:tcPr>
            <w:tcW w:w="9860" w:type="dxa"/>
            <w:vAlign w:val="bottom"/>
            <w:gridSpan w:val="3"/>
          </w:tcPr>
          <w:p>
            <w:pPr>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additional</w:t>
            </w: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ADSs.</w:t>
            </w:r>
          </w:p>
        </w:tc>
      </w:tr>
      <w:tr>
        <w:trPr>
          <w:trHeight w:val="391"/>
        </w:trPr>
        <w:tc>
          <w:tcPr>
            <w:tcW w:w="78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Paid by us</w:t>
            </w: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7820" w:type="dxa"/>
            <w:vAlign w:val="bottom"/>
          </w:tcPr>
          <w:p>
            <w:pPr>
              <w:spacing w:after="0"/>
              <w:rPr>
                <w:sz w:val="13"/>
                <w:szCs w:val="13"/>
                <w:color w:val="auto"/>
              </w:rPr>
            </w:pPr>
          </w:p>
        </w:tc>
        <w:tc>
          <w:tcPr>
            <w:tcW w:w="204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No Exercise</w:t>
            </w:r>
          </w:p>
        </w:tc>
        <w:tc>
          <w:tcPr>
            <w:tcW w:w="110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Full Exercise</w:t>
            </w:r>
          </w:p>
        </w:tc>
        <w:tc>
          <w:tcPr>
            <w:tcW w:w="60" w:type="dxa"/>
            <w:vAlign w:val="bottom"/>
          </w:tcPr>
          <w:p>
            <w:pPr>
              <w:spacing w:after="0"/>
              <w:rPr>
                <w:sz w:val="13"/>
                <w:szCs w:val="13"/>
                <w:color w:val="auto"/>
              </w:rPr>
            </w:pPr>
          </w:p>
        </w:tc>
      </w:tr>
      <w:tr>
        <w:trPr>
          <w:trHeight w:val="196"/>
        </w:trPr>
        <w:tc>
          <w:tcPr>
            <w:tcW w:w="7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ADS</w:t>
            </w:r>
          </w:p>
        </w:tc>
        <w:tc>
          <w:tcPr>
            <w:tcW w:w="1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9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782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gridSpan w:val="2"/>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tcPr>
          <w:p>
            <w:pPr>
              <w:spacing w:after="0"/>
              <w:rPr>
                <w:sz w:val="20"/>
                <w:szCs w:val="20"/>
                <w:color w:val="auto"/>
              </w:rPr>
            </w:pPr>
            <w:r>
              <w:rPr>
                <w:rFonts w:ascii="Arial" w:cs="Arial" w:eastAsia="Arial" w:hAnsi="Arial"/>
                <w:sz w:val="18"/>
                <w:szCs w:val="18"/>
                <w:color w:val="auto"/>
              </w:rPr>
              <w:t>US$</w:t>
            </w:r>
          </w:p>
        </w:tc>
      </w:tr>
    </w:tbl>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w:t>
      </w:r>
    </w:p>
    <w:p>
      <w:pPr>
        <w:ind w:left="120"/>
        <w:spacing w:after="0"/>
        <w:tabs>
          <w:tab w:leader="none" w:pos="110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million.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Arrangements</w:t>
      </w:r>
    </w:p>
    <w:p>
      <w:pPr>
        <w:spacing w:after="0" w:line="126"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[We have agreed that, subject to certain exceptions, without the prior written consent of the representatives, we will not, during the period from the date of this prospectus continuing through the date 180 days after the date of this prospectus, (i) offer, sell, contract to sell, pledge, grant any option to purchase, make any short sale or otherwise transfer or dispose of, directly or indirectly, or file with the SEC a registration statement under the Securities Act relating to, any of our securities that are substantially similar to the ADSs, including but not limited to any options or warrants to purchase ordinary shares or ADSs or any securities that are convertible into or exchangeable for, or that represent the right to receive, ordinary shares or ADSs or any such substantially similar securities; (ii) enter into any swap or other arrangement that transfers, in whole or in part, any of the economic consequences of ownership of ordinary shares or ADSs or such other securities, whether any such transaction described in (i) or (ii) above is to be settled by delivery of ordinary shares, ADSs, or such other securities, in cash or otherwise; (iii) file or submit any registration statement with the SEC relating to the offering of any ordinary shares, ADSs or any securities convertible into or exercisable or exchangeable for ordinary shares or ADSs; or (iv) publicly disclose the intention to do any of the foregoing.</w:t>
      </w:r>
    </w:p>
    <w:p>
      <w:pPr>
        <w:spacing w:after="0" w:line="205"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restrictions in the preceding paragraph do not apply to, among other things, employee benefit plans existing on the date of this prospectus. See “Shares Eligible for Future Sale” for a discussion of certain transfer restrictions.]</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[Each of our directors, executive officers and existing shareholders have agreed that, subject to certain exceptions, without the prior written consent of the representatives, it will not, and will not cause or direct any of its affiliates to, during the period from the date of this prospectus continuing through the date 180 days after the date of this prospectus, (1) offer, pledge, sell, contract to sell, grant any option to purchase, lend, or otherwise dispose of any ordinary shares or ADSs or any options or warrants to purchase any ordinary shares or ADS, or any securities convertible into, exchangeable for or that represent the right to receive ordinary shares or ADSs,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it or someone other than it), or transfer of any of the economic consequences of ownership, in whole or in part, directly or indirectly, of any ordinary shares or ADSs or any options, warrants or other securities, whether any such transaction or arrangement (or instrument provided for thereunder) would be settled by delivery of ordinary shares or ADSs or other securities, in cash or otherwise, or (3) otherwise publicly announce any intention to engage in or cause any action or activity described in (1) above or transaction or arrangement described in (2) above.</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660"/>
        <w:spacing w:after="0"/>
        <w:tabs>
          <w:tab w:leader="none" w:pos="5960" w:val="left"/>
        </w:tabs>
        <w:rPr>
          <w:sz w:val="20"/>
          <w:szCs w:val="20"/>
          <w:color w:val="auto"/>
        </w:rPr>
      </w:pPr>
      <w:r>
        <w:rPr>
          <w:rFonts w:ascii="Arial" w:cs="Arial" w:eastAsia="Arial" w:hAnsi="Arial"/>
          <w:sz w:val="18"/>
          <w:szCs w:val="18"/>
          <w:color w:val="auto"/>
        </w:rPr>
        <w:t>In addition, through a letter agreement, we will instruct</w:t>
      </w:r>
      <w:r>
        <w:rPr>
          <w:sz w:val="20"/>
          <w:szCs w:val="20"/>
          <w:color w:val="auto"/>
        </w:rPr>
        <w:tab/>
      </w:r>
      <w:r>
        <w:rPr>
          <w:rFonts w:ascii="Arial" w:cs="Arial" w:eastAsia="Arial" w:hAnsi="Arial"/>
          <w:sz w:val="17"/>
          <w:szCs w:val="17"/>
          <w:color w:val="auto"/>
        </w:rPr>
        <w:t>, as depositary, not to accept any deposit of any ordinary shares</w:t>
      </w:r>
    </w:p>
    <w:p>
      <w:pPr>
        <w:ind w:left="120" w:right="200"/>
        <w:spacing w:after="0" w:line="246" w:lineRule="auto"/>
        <w:rPr>
          <w:sz w:val="20"/>
          <w:szCs w:val="20"/>
          <w:color w:val="auto"/>
        </w:rPr>
      </w:pPr>
      <w:r>
        <w:rPr>
          <w:rFonts w:ascii="Arial" w:cs="Arial" w:eastAsia="Arial" w:hAnsi="Arial"/>
          <w:sz w:val="18"/>
          <w:szCs w:val="18"/>
          <w:color w:val="auto"/>
        </w:rPr>
        <w:t>or deliver any ADSs until after 180 days following the date of this prospectus unless we consent to such deposit or issuance. We will not provide such consent without the prior written consent of the representatives.]</w:t>
      </w:r>
    </w:p>
    <w:p>
      <w:pPr>
        <w:spacing w:after="0" w:line="197"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representatives, in their sole discretion, on behalf of the underwriters may release the ADSs and other securities subject to the lock-up agreements described above in whole or in part at any time with or without notice.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this Offering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ADSs sold by the underwriters to the public will initially be offered at the initial public offering price set forth on the cover of this</w:t>
      </w:r>
    </w:p>
    <w:p>
      <w:pPr>
        <w:ind w:left="120" w:right="20"/>
        <w:spacing w:after="0" w:line="238" w:lineRule="auto"/>
        <w:rPr>
          <w:sz w:val="20"/>
          <w:szCs w:val="20"/>
          <w:color w:val="auto"/>
        </w:rPr>
      </w:pPr>
      <w:r>
        <w:rPr>
          <w:rFonts w:ascii="Arial" w:cs="Arial" w:eastAsia="Arial" w:hAnsi="Arial"/>
          <w:sz w:val="18"/>
          <w:szCs w:val="18"/>
          <w:color w:val="auto"/>
        </w:rPr>
        <w:t>prospectus. Any ADSs sold by the underwriters to securities dealers may be sold at a discount of up to US$ per ADS from the initial public offering price. After the initial offering of the ADSs, the representatives may change the offering price and the other selling terms. The offering of the ADSs by the underwriters is subject to receipt and acceptance and subject to the underwriters’ right to reject any order in whole or in part.</w:t>
      </w:r>
    </w:p>
    <w:p>
      <w:pPr>
        <w:spacing w:after="0" w:line="205"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Prior to this offering, there has been no public market for our ordinary shares or the ADSs. The initial public offering price will be negotiated among us and the representatives. Among the factors to be considered in determining the initial public offering price of the ADSs,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 An active trading market for the ADSs may not develop. It is also possible that after the offering the ADSs will not trade in the public market at or above the initial public offering price.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York Stock Exchange Listing</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application will be made to list the ADSs on the New York Stock Exchange under the symbol “RERE.”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126" w:lineRule="exact"/>
        <w:rPr>
          <w:sz w:val="20"/>
          <w:szCs w:val="20"/>
          <w:color w:val="auto"/>
        </w:rPr>
      </w:pPr>
    </w:p>
    <w:p>
      <w:pPr>
        <w:ind w:left="120" w:right="120" w:firstLine="551"/>
        <w:spacing w:after="0" w:line="236" w:lineRule="auto"/>
        <w:rPr>
          <w:sz w:val="20"/>
          <w:szCs w:val="20"/>
          <w:color w:val="auto"/>
        </w:rPr>
      </w:pPr>
      <w:r>
        <w:rPr>
          <w:rFonts w:ascii="Arial" w:cs="Arial" w:eastAsia="Arial" w:hAnsi="Arial"/>
          <w:sz w:val="18"/>
          <w:szCs w:val="18"/>
          <w:color w:val="auto"/>
        </w:rPr>
        <w:t>In connection with this offering, the underwriters may purchase and sell ADSs in the open market. These transactions may include short sales, stabilizing transactions and purchases to cover positions created by short sales. Short sales involve the sale by the underwriters of a greater number of ADSs than they are required to purchase in this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creates a short position greater than the amount of additional ADSs for which the option described above may be exercised.</w:t>
      </w:r>
    </w:p>
    <w:p>
      <w:pPr>
        <w:spacing w:after="0" w:line="20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Stabilizing transactions consist of various bids for or purchases of ADSs made by the underwriters in the open market prior to the completion of this offering.</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203"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ADSs, and together with the imposition of the penalty bid, may stabilize, maintain or otherwise affect the market price of the ADSs. As a result, the price of the ADSs may be higher than the price that otherwise might exist in the open market. The underwriters are not required to engage in these activities, and may end any of these activities at any time. These transactions may be effected on the New York Stock Exchange, the over-the-counter market or otherwise.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A prospectus in electronic format will be made available on the websites maintained by one or more of the underwriters or one or more securities dealers. One or more of the underwriters may distribute prospectuses electronically. The underwriters may agree to allocate a number of ADSs for sale to their online brokerage account holders. ADSs to be sold pursuant to an internet distribution will be allocated on the same basis as other allocations. In addition, ADSs may be sold by the underwriters to securities dealers who resell ADSs to online brokerage account 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Relationships</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investment research, market making, brokerage and other financial and non-financial activities and services. Certain of the underwriters and their respective affiliates may have, from time to time, performed, and may in the future perform, various financial advisory, commercial and investment banking services and other services for us and to persons and entities with relationships with us, for which they received or will receive customary fees and commissions.</w:t>
      </w:r>
    </w:p>
    <w:p>
      <w:pPr>
        <w:spacing w:after="0" w:line="205"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us and/or persons and entities with relationships with us. The underwriters and their respective affiliates may also make or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ectPr>
          <w:pgSz w:w="11900" w:h="16838" w:orient="portrait"/>
          <w:cols w:equalWidth="0" w:num="1">
            <w:col w:w="11140"/>
          </w:cols>
          <w:pgMar w:left="320" w:top="459" w:right="439" w:bottom="1440" w:gutter="0" w:footer="0" w:header="0"/>
        </w:sectPr>
      </w:pP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At our request, the underwriters have reserved for sale, at the initial public offering price, up to prospectus for sale to certain of our directors, officers,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 of the ADSs offered by this</w:t>
      </w:r>
    </w:p>
    <w:p>
      <w:pPr>
        <w:spacing w:after="0" w:line="346" w:lineRule="exact"/>
        <w:rPr>
          <w:sz w:val="20"/>
          <w:szCs w:val="20"/>
          <w:color w:val="auto"/>
        </w:rPr>
      </w:pPr>
    </w:p>
    <w:p>
      <w:pPr>
        <w:sectPr>
          <w:pgSz w:w="11900" w:h="16838" w:orient="portrait"/>
          <w:cols w:equalWidth="0" w:num="2">
            <w:col w:w="8140" w:space="640"/>
            <w:col w:w="236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250</w:t>
      </w:r>
    </w:p>
    <w:p>
      <w:pPr>
        <w:sectPr>
          <w:pgSz w:w="11900" w:h="16838" w:orient="portrait"/>
          <w:cols w:equalWidth="0" w:num="1">
            <w:col w:w="11140"/>
          </w:cols>
          <w:pgMar w:left="320" w:top="459" w:right="439" w:bottom="1440" w:gutter="0" w:footer="0" w:header="0"/>
          <w:type w:val="continuous"/>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40" w:hanging="649"/>
        <w:spacing w:after="0" w:line="248" w:lineRule="auto"/>
        <w:rPr>
          <w:sz w:val="20"/>
          <w:szCs w:val="20"/>
          <w:color w:val="auto"/>
        </w:rPr>
      </w:pPr>
      <w:r>
        <w:rPr>
          <w:rFonts w:ascii="Arial" w:cs="Arial" w:eastAsia="Arial" w:hAnsi="Arial"/>
          <w:sz w:val="17"/>
          <w:szCs w:val="17"/>
          <w:color w:val="auto"/>
        </w:rPr>
        <w:t>employees, business associates and other persons associated with us. Pursuant to the underwriting agreement, the sales will be made by through the Directed Share Program. If these persons purchase reserved ADSs, it will reduce the number of ADSs available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sale to the general public. Any reserved ADSs that are not so purchased will be offered by the underwriters to the general public on the same terms as the other ADSs offered by this prospectus. Any ADSs sold in the Directed Share Program to a party who has entered into a lock-up agreement shall be subject to the provisions of such lock-up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No action has been taken in any jurisdiction (except in the United States) that would permit a public offering of the ADSs, or the possession, circulation or distribution of this prospectus or any other material relating to us or the ADSs in any jurisdiction where action for that purpose is required.</w:t>
      </w:r>
    </w:p>
    <w:p>
      <w:pPr>
        <w:spacing w:after="0" w:line="203"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Accordingly, the ADSs may not be offered or sold, directly or indirectly, and neither this prospectus nor any other material or advertisements in connection with the ADSs may be distributed or published, in or from any country or jurisdiction except in compliance with any applicable laws, rules and regulations of any such country or jurisdiction.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Any offer in Australia of the ADSs may only be made to persons, or the Exempt Investors, who are “sophisticated investors” (within the meaning of section 708(8) of the Corporations Act), “professional investor”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20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26"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203"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2"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Cayman Islands</w:t>
      </w:r>
    </w:p>
    <w:p>
      <w:pPr>
        <w:spacing w:after="0" w:line="126" w:lineRule="exact"/>
        <w:rPr>
          <w:sz w:val="20"/>
          <w:szCs w:val="20"/>
          <w:color w:val="auto"/>
        </w:rPr>
      </w:pPr>
    </w:p>
    <w:p>
      <w:pPr>
        <w:jc w:val="both"/>
        <w:ind w:left="120" w:right="160" w:firstLine="551"/>
        <w:spacing w:after="0" w:line="238" w:lineRule="auto"/>
        <w:rPr>
          <w:sz w:val="20"/>
          <w:szCs w:val="20"/>
          <w:color w:val="auto"/>
        </w:rPr>
      </w:pPr>
      <w:r>
        <w:rPr>
          <w:rFonts w:ascii="Arial" w:cs="Arial" w:eastAsia="Arial" w:hAnsi="Arial"/>
          <w:sz w:val="18"/>
          <w:szCs w:val="18"/>
          <w:color w:val="auto"/>
        </w:rPr>
        <w:t>This prospectus is not intended to constitute a public offer of the ADSs or ordinary shares, whether by way of sale or subscription, in the Cayman Islands. No offer or invitation may be made to the public in the Cayman Islands to subscribe for or purchase the ordinary shares or any ADS. The ADSs and ordinary shares have not been offered or sold, and will not be offered or sold, directly or indirectly, in the Cayman Islands.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Finance Center</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w:t>
      </w:r>
    </w:p>
    <w:p>
      <w:pPr>
        <w:spacing w:after="0" w:line="205" w:lineRule="exact"/>
        <w:rPr>
          <w:sz w:val="20"/>
          <w:szCs w:val="20"/>
          <w:color w:val="auto"/>
        </w:rPr>
      </w:pPr>
    </w:p>
    <w:p>
      <w:pPr>
        <w:ind w:left="120" w:right="400" w:firstLine="551"/>
        <w:spacing w:after="0" w:line="246" w:lineRule="auto"/>
        <w:rPr>
          <w:sz w:val="20"/>
          <w:szCs w:val="20"/>
          <w:color w:val="auto"/>
        </w:rPr>
      </w:pPr>
      <w:r>
        <w:rPr>
          <w:rFonts w:ascii="Arial" w:cs="Arial" w:eastAsia="Arial" w:hAnsi="Arial"/>
          <w:sz w:val="18"/>
          <w:szCs w:val="18"/>
          <w:color w:val="auto"/>
        </w:rPr>
        <w:t>Prospective purchasers of the ADSs offered should conduct their own due diligence on the ADSs. If you do not understand the contents of this document you should consult an authorized financial adviser.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26"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08" w:lineRule="exact"/>
        <w:rPr>
          <w:sz w:val="20"/>
          <w:szCs w:val="20"/>
          <w:color w:val="auto"/>
        </w:rPr>
      </w:pPr>
    </w:p>
    <w:p>
      <w:pPr>
        <w:ind w:left="880" w:hanging="224"/>
        <w:spacing w:after="0"/>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for any such offer; or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 any other circumstances falling within Article 1(4) of the Prospectus Regulation,</w:t>
      </w:r>
    </w:p>
    <w:p>
      <w:pPr>
        <w:spacing w:after="0" w:line="21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provided that no such offer of ADSs shall require the Issuer or any underwriter to publish a prospectus pursuant to Article 3 of the Prospectus Regulation or supplement a prospectus pursuant to Article 23 of the Prospectus Regulation.</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In relation to the United Kingdom, no ADSs have been offered or will be offered pursuant to this offering to the public in the United Kingdom prior to the publication of a prospectus in relation to the ADSs which has been approved by the Financial Conduct Authority in accordance with the UK Prospectus Regulation, except that it may make an offer to the public in the United Kingdom of any ADSs at any time under the following exemptions under the UK Prospectus Regulation:</w:t>
      </w:r>
    </w:p>
    <w:p>
      <w:pPr>
        <w:spacing w:after="0" w:line="110" w:lineRule="exact"/>
        <w:rPr>
          <w:sz w:val="20"/>
          <w:szCs w:val="20"/>
          <w:color w:val="auto"/>
        </w:rPr>
      </w:pPr>
    </w:p>
    <w:p>
      <w:pPr>
        <w:ind w:left="880" w:hanging="224"/>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17"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underwriters for any such offer; or</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UK Prospectus Regulation,</w:t>
      </w:r>
    </w:p>
    <w:p>
      <w:pPr>
        <w:spacing w:after="0" w:line="212"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provided that no such offer of the ADSs shall require the Issuer or any Manager to publish a prospectus pursuant to Article 3 of the UK Prospectus Regulation or supplement a prospectus pursuant to Article 23 of the UK Prospectus Regulation.</w:t>
      </w:r>
    </w:p>
    <w:p>
      <w:pPr>
        <w:spacing w:after="0" w:line="197"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the United Kingdom, the this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 (iii) 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20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the ADSs in the United Kingdom means the communication in any form and by any means of sufficient information on the terms of the this offering and any ADSs to be offered so as to enable an investor to decide to purchase or subscribe for any ADSs, and the expression “UK Prospectus Regulation” means the UK version of Regulation (EU) No 2017/1129 as amended by The Prospectus (Amendment etc.) (EU Exit) Regulations 2019, which is part of UK law by virtue of the European Union (Withdrawal) Act 2018.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ADSs may not be offered or sold by means of any document other than (i) in circumstances which do not constitute an offer to the public within the meaning of the Companies (Winding Up and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040"/>
          </w:cols>
          <w:pgMar w:left="320" w:top="459" w:right="5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spacing w:after="0" w:line="248" w:lineRule="auto"/>
        <w:rPr>
          <w:sz w:val="20"/>
          <w:szCs w:val="20"/>
          <w:color w:val="auto"/>
        </w:rPr>
      </w:pPr>
      <w:r>
        <w:rPr>
          <w:rFonts w:ascii="Arial" w:cs="Arial" w:eastAsia="Arial" w:hAnsi="Arial"/>
          <w:sz w:val="17"/>
          <w:szCs w:val="17"/>
          <w:color w:val="auto"/>
        </w:rPr>
        <w:t>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w:t>
      </w:r>
    </w:p>
    <w:p>
      <w:pPr>
        <w:spacing w:after="0" w:line="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Indonesia</w:t>
      </w:r>
    </w:p>
    <w:p>
      <w:pPr>
        <w:spacing w:after="0" w:line="12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State of Israel, the ADSs offered hereby may not be offered to any person or entity other than the following:</w:t>
      </w:r>
    </w:p>
    <w:p>
      <w:pPr>
        <w:spacing w:after="0" w:line="117" w:lineRule="exact"/>
        <w:rPr>
          <w:sz w:val="20"/>
          <w:szCs w:val="20"/>
          <w:color w:val="auto"/>
        </w:rPr>
      </w:pPr>
    </w:p>
    <w:p>
      <w:pPr>
        <w:ind w:left="880" w:right="300" w:hanging="224"/>
        <w:spacing w:after="0" w:line="246" w:lineRule="auto"/>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102"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provident fund as defined in Section 47(a)(2) of the Income Tax Ordinance of the State of Israel, or a management company of such a fund;</w:t>
      </w:r>
    </w:p>
    <w:p>
      <w:pPr>
        <w:spacing w:after="0" w:line="102" w:lineRule="exact"/>
        <w:rPr>
          <w:rFonts w:ascii="Arial" w:cs="Arial" w:eastAsia="Arial" w:hAnsi="Arial"/>
          <w:sz w:val="18"/>
          <w:szCs w:val="18"/>
          <w:color w:val="auto"/>
        </w:rPr>
      </w:pPr>
    </w:p>
    <w:p>
      <w:pPr>
        <w:ind w:left="880" w:right="60" w:hanging="224"/>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108" w:lineRule="exact"/>
        <w:rPr>
          <w:rFonts w:ascii="Arial" w:cs="Arial" w:eastAsia="Arial" w:hAnsi="Arial"/>
          <w:sz w:val="18"/>
          <w:szCs w:val="18"/>
          <w:color w:val="auto"/>
        </w:rPr>
      </w:pPr>
    </w:p>
    <w:p>
      <w:pPr>
        <w:ind w:left="880" w:right="300" w:hanging="224"/>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108"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company that is licensed as an investment advisor, as such term is defined in Section 7(c) of the Law for the Regulation of Investment Advisors and Portfolio Managers, 5755-1995, acting on its own account;</w:t>
      </w:r>
    </w:p>
    <w:p>
      <w:pPr>
        <w:spacing w:after="0" w:line="102"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company that is a member of the Tel Aviv Stock Exchange, acting on its own account or for the account of investors of the type listed in Section 15A(b) of the Securities Law 1968;</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underwriter fulfilling the conditions of Section 56(c) of the Securities Law, 5728-1968;</w:t>
      </w:r>
    </w:p>
    <w:p>
      <w:pPr>
        <w:spacing w:after="0" w:line="112" w:lineRule="exact"/>
        <w:rPr>
          <w:rFonts w:ascii="Arial" w:cs="Arial" w:eastAsia="Arial" w:hAnsi="Arial"/>
          <w:sz w:val="18"/>
          <w:szCs w:val="18"/>
          <w:color w:val="auto"/>
        </w:rPr>
      </w:pPr>
    </w:p>
    <w:p>
      <w:pPr>
        <w:ind w:left="880" w:hanging="224"/>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venture capital fund (defined as an entity primarily involved in investments in companies which, at the time of investment,</w:t>
      </w:r>
    </w:p>
    <w:p>
      <w:pPr>
        <w:ind w:left="1080" w:hanging="208"/>
        <w:spacing w:after="0" w:line="234"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are primarily engaged in research and development or manufacture of new technological products or processes and</w:t>
      </w:r>
    </w:p>
    <w:p>
      <w:pPr>
        <w:ind w:left="1120" w:hanging="248"/>
        <w:spacing w:after="0"/>
        <w:tabs>
          <w:tab w:leader="none" w:pos="11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involve above-average risk);</w:t>
      </w:r>
    </w:p>
    <w:p>
      <w:pPr>
        <w:spacing w:after="0" w:line="117"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entity primarily engaged in capital markets activities in which all of the equity owners meet one or more of the above criteria; and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100"/>
          </w:cols>
          <w:pgMar w:left="320" w:top="459"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300" w:hanging="224"/>
        <w:spacing w:after="0" w:line="238" w:lineRule="auto"/>
        <w:tabs>
          <w:tab w:leader="none" w:pos="8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entity, other than an entity formed for the purpose of purchasing the ADSs in this offering, in which the shareholders equity (including pursuant to foreign accounting rules, international accounting regulations and U.S. generally accepted accounting rules, as defined in the Securities Law Regulations (Preparation of Annual Financial Statements), 1993) is in excess of NIS 250 million.</w:t>
      </w:r>
    </w:p>
    <w:p>
      <w:pPr>
        <w:spacing w:after="0" w:line="2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Any offeree of the ADSs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26" w:lineRule="exact"/>
        <w:rPr>
          <w:sz w:val="20"/>
          <w:szCs w:val="20"/>
          <w:color w:val="auto"/>
        </w:rPr>
      </w:pPr>
    </w:p>
    <w:p>
      <w:pPr>
        <w:ind w:left="120" w:right="20" w:firstLine="551"/>
        <w:spacing w:after="0" w:line="246"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ADSs.</w:t>
      </w:r>
    </w:p>
    <w:p>
      <w:pPr>
        <w:spacing w:after="0" w:line="197"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Kuwait</w:t>
      </w:r>
    </w:p>
    <w:p>
      <w:pPr>
        <w:spacing w:after="0" w:line="126"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Malaysia</w:t>
      </w:r>
    </w:p>
    <w:p>
      <w:pPr>
        <w:spacing w:after="0" w:line="126"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offering of the ADSs has not been and will not be approved by the Securities Commission Malaysia, or SC, and this document has not been and will not be registered as a prospectus with the SC under the Malaysian Capital Markets and Services Act 2007, or CMSA. Accordingly, no ADSs or invitation to purchase is being made to any person in Malaysia under this document except to persons falling within any of paragraphs 2(g)(i) to (xi) of Schedule 5 of the CMSA and distributed only by a holder of a Capital Markets Services License who carries on the business of dealing in securities.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prospectus may not be circulated or distributed in the PRC and the ADSs may not be offered or sold, and will not offer or sell to any person for re-offering or resale directly or indirectly to any resident of the PRC except pursuant to applicable laws and regulations of the PRC. For the purposes of this paragraph, the PRC does not include Taiwan and the special administrative regions of Hong Kong and Macau.</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Qatar</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Saudi Arabia</w:t>
      </w:r>
    </w:p>
    <w:p>
      <w:pPr>
        <w:spacing w:after="0" w:line="126"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This prospectus may not be distributed in the Kingdom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17" w:lineRule="exact"/>
        <w:rPr>
          <w:sz w:val="20"/>
          <w:szCs w:val="20"/>
          <w:color w:val="auto"/>
        </w:rPr>
      </w:pPr>
    </w:p>
    <w:p>
      <w:pPr>
        <w:ind w:left="880" w:right="180" w:hanging="224"/>
        <w:spacing w:after="0"/>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8" w:lineRule="exact"/>
        <w:rPr>
          <w:rFonts w:ascii="Arial" w:cs="Arial" w:eastAsia="Arial" w:hAnsi="Arial"/>
          <w:sz w:val="18"/>
          <w:szCs w:val="18"/>
          <w:color w:val="auto"/>
        </w:rPr>
      </w:pPr>
    </w:p>
    <w:p>
      <w:pPr>
        <w:ind w:left="880" w:right="140" w:hanging="224"/>
        <w:spacing w:after="0"/>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line="246" w:lineRule="auto"/>
        <w:rPr>
          <w:sz w:val="20"/>
          <w:szCs w:val="20"/>
          <w:color w:val="auto"/>
        </w:rPr>
      </w:pPr>
      <w:r>
        <w:rPr>
          <w:rFonts w:ascii="Arial" w:cs="Arial" w:eastAsia="Arial" w:hAnsi="Arial"/>
          <w:sz w:val="18"/>
          <w:szCs w:val="18"/>
          <w:color w:val="auto"/>
        </w:rPr>
        <w:t>rights and interest (howsoever described) in that trust shall not be transferred within six months after that corporation or that trust has acquired the ADSs pursuant to an offer made under Section 275 of the SFA, except:</w:t>
      </w:r>
    </w:p>
    <w:p>
      <w:pPr>
        <w:spacing w:after="0" w:line="102" w:lineRule="exact"/>
        <w:rPr>
          <w:sz w:val="20"/>
          <w:szCs w:val="20"/>
          <w:color w:val="auto"/>
        </w:rPr>
      </w:pPr>
    </w:p>
    <w:p>
      <w:pPr>
        <w:ind w:left="1320" w:right="320" w:hanging="435"/>
        <w:spacing w:after="0" w:line="246" w:lineRule="auto"/>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320" w:right="180" w:hanging="435"/>
        <w:spacing w:after="0" w:line="246" w:lineRule="auto"/>
        <w:tabs>
          <w:tab w:leader="none" w:pos="13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26"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The ADSs may not be offered or sold to any investors in Switzerland other than on a non-public basis. This prospectus does not constitute a prospectus within the meaning of Article 652a and Art. 1156 of the Swiss Code of Obligations (Schweizerisches Obligationenrecht). Neither this offering nor the ADSs have been or will be approved by any Swiss regulatory authority.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Taiwan</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 through a public offering or in such an offering that require registration, filing or approval of the Financial Supervisory Commission of Taiwan except pursuant to the applicable laws and regulations of Taiwan and the competent authority’s ruling thereunder.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Thailand</w:t>
      </w:r>
    </w:p>
    <w:p>
      <w:pPr>
        <w:spacing w:after="0" w:line="126" w:lineRule="exact"/>
        <w:rPr>
          <w:sz w:val="20"/>
          <w:szCs w:val="20"/>
          <w:color w:val="auto"/>
        </w:rPr>
      </w:pPr>
    </w:p>
    <w:p>
      <w:pPr>
        <w:jc w:val="both"/>
        <w:ind w:left="120" w:right="140" w:firstLine="551"/>
        <w:spacing w:after="0" w:line="238" w:lineRule="auto"/>
        <w:rPr>
          <w:sz w:val="20"/>
          <w:szCs w:val="20"/>
          <w:color w:val="auto"/>
        </w:rPr>
      </w:pPr>
      <w:r>
        <w:rPr>
          <w:rFonts w:ascii="Arial" w:cs="Arial" w:eastAsia="Arial" w:hAnsi="Arial"/>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ADSs have not been offered or sold, and will not be offered or sold, directly or indirectly, in the United Arab Emirates, except:</w:t>
      </w:r>
    </w:p>
    <w:p>
      <w:pPr>
        <w:ind w:left="120" w:right="40" w:hanging="4"/>
        <w:spacing w:after="0" w:line="238" w:lineRule="auto"/>
        <w:tabs>
          <w:tab w:leader="none" w:pos="39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Vietnam</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13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0980"/>
          </w:cols>
          <w:pgMar w:left="320" w:top="459" w:right="59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EXPENSES RELATED TO THIS OFFERING</w:t>
      </w:r>
    </w:p>
    <w:p>
      <w:pPr>
        <w:spacing w:after="0" w:line="234" w:lineRule="exact"/>
        <w:rPr>
          <w:sz w:val="20"/>
          <w:szCs w:val="20"/>
          <w:color w:val="auto"/>
        </w:rPr>
      </w:pPr>
    </w:p>
    <w:p>
      <w:pPr>
        <w:jc w:val="both"/>
        <w:ind w:left="120" w:right="180" w:firstLine="551"/>
        <w:spacing w:after="0"/>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(FINRA) filing fee, and the stock exchange market entry and listing fee, all amounts are estimates.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520" w:type="dxa"/>
            <w:vAlign w:val="bottom"/>
            <w:gridSpan w:val="3"/>
            <w:shd w:val="clear" w:color="auto" w:fill="CCEEFF"/>
          </w:tcPr>
          <w:p>
            <w:pPr>
              <w:ind w:left="54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FINRA Fee</w:t>
            </w:r>
          </w:p>
        </w:tc>
        <w:tc>
          <w:tcPr>
            <w:tcW w:w="5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Exchange Market Entry and Listing Fee</w:t>
            </w:r>
          </w:p>
        </w:tc>
        <w:tc>
          <w:tcPr>
            <w:tcW w:w="5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5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5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5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544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40" w:type="dxa"/>
            <w:vAlign w:val="bottom"/>
          </w:tcPr>
          <w:p>
            <w:pPr>
              <w:spacing w:after="0"/>
              <w:rPr>
                <w:sz w:val="18"/>
                <w:szCs w:val="18"/>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5440" w:type="dxa"/>
            <w:vAlign w:val="bottom"/>
            <w:vMerge w:val="restart"/>
          </w:tcPr>
          <w:p>
            <w:pPr>
              <w:jc w:val="right"/>
              <w:ind w:right="4190"/>
              <w:spacing w:after="0"/>
              <w:rPr>
                <w:sz w:val="20"/>
                <w:szCs w:val="20"/>
                <w:color w:val="auto"/>
              </w:rPr>
            </w:pPr>
            <w:r>
              <w:rPr>
                <w:rFonts w:ascii="Arial" w:cs="Arial" w:eastAsia="Arial" w:hAnsi="Arial"/>
                <w:sz w:val="18"/>
                <w:szCs w:val="18"/>
                <w:color w:val="auto"/>
              </w:rPr>
              <w:t>259</w:t>
            </w: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We are being represented by Skadden, Arps, Slate, Meagher &amp; Flom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this offering will be passed upon for us by Maples and Calder (Hong Kong) LLP. Certain legal matters as to PRC law will be passed upon for us by Han Kun Law Offices and for the underwriters by JunHe LLP. Skadden, Arps, Slate, Meagher &amp; Flom LLP may rely upon Maples and Calder (Hong Kong) LLP with respect to matters governed by Cayman Islands law and Han Kun Law Offices with respect to matters governed by PRC law. Latham &amp; Watkins LLP may rely upon JunHe LLP with respect to matters governed by PRC law.</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080"/>
          </w:cols>
          <w:pgMar w:left="320" w:top="459"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left="120" w:right="160" w:firstLine="551"/>
        <w:spacing w:after="0" w:line="238" w:lineRule="auto"/>
        <w:rPr>
          <w:sz w:val="20"/>
          <w:szCs w:val="20"/>
          <w:color w:val="auto"/>
        </w:rPr>
      </w:pPr>
      <w:r>
        <w:rPr>
          <w:rFonts w:ascii="Arial" w:cs="Arial" w:eastAsia="Arial" w:hAnsi="Arial"/>
          <w:sz w:val="18"/>
          <w:szCs w:val="18"/>
          <w:color w:val="auto"/>
        </w:rPr>
        <w:t>The financial statements as of December 31, 2018, 2019 and 2020 and for each of the three years in the period ended December 31, 2020 included in this Prospectus have been audited by Deloitte Touche Tohmatsu Certified Public Accountants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205"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offices of Deloitte Touche Tohmatsu Certified Public Accountants LLP are located at 30th Floor, Bund Center, 222 Yan An Road East, Shanghai, People’s Republic of China.</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4"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 xml:space="preserve">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00"/>
          </w:cols>
          <w:pgMar w:left="320" w:top="459"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AIHUISHOU INTERNATIONAL CO. LTD.</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0" w:type="dxa"/>
            <w:vAlign w:val="bottom"/>
            <w:gridSpan w:val="5"/>
            <w:vMerge w:val="restart"/>
          </w:tcPr>
          <w:p>
            <w:pPr>
              <w:spacing w:after="0"/>
              <w:rPr>
                <w:rFonts w:ascii="Arial" w:cs="Arial" w:eastAsia="Arial" w:hAnsi="Arial"/>
                <w:sz w:val="18"/>
                <w:szCs w:val="18"/>
                <w:color w:val="0000EE"/>
                <w:w w:val="99"/>
              </w:rPr>
            </w:pPr>
            <w:hyperlink w:anchor="page274">
              <w:r>
                <w:rPr>
                  <w:rFonts w:ascii="Arial" w:cs="Arial" w:eastAsia="Arial" w:hAnsi="Arial"/>
                  <w:sz w:val="18"/>
                  <w:szCs w:val="18"/>
                  <w:color w:val="0000EE"/>
                  <w:w w:val="99"/>
                </w:rPr>
                <w:t>Report of Independent Registered Public Accounting Firm</w:t>
              </w:r>
            </w:hyperlink>
          </w:p>
        </w:tc>
        <w:tc>
          <w:tcPr>
            <w:tcW w:w="5860" w:type="dxa"/>
            <w:vAlign w:val="bottom"/>
            <w:gridSpan w:val="11"/>
            <w:vMerge w:val="restart"/>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4600" w:type="dxa"/>
            <w:vAlign w:val="bottom"/>
            <w:tcBorders>
              <w:bottom w:val="single" w:sz="8" w:color="0000EE"/>
            </w:tcBorders>
            <w:gridSpan w:val="5"/>
            <w:vMerge w:val="continue"/>
          </w:tcPr>
          <w:p>
            <w:pPr>
              <w:spacing w:after="0"/>
              <w:rPr>
                <w:sz w:val="14"/>
                <w:szCs w:val="14"/>
                <w:color w:val="auto"/>
              </w:rPr>
            </w:pPr>
          </w:p>
        </w:tc>
        <w:tc>
          <w:tcPr>
            <w:tcW w:w="5860" w:type="dxa"/>
            <w:vAlign w:val="bottom"/>
            <w:gridSpan w:val="11"/>
            <w:vMerge w:val="continue"/>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60" w:type="dxa"/>
            <w:vAlign w:val="bottom"/>
            <w:gridSpan w:val="16"/>
          </w:tcPr>
          <w:p>
            <w:pPr>
              <w:spacing w:after="0" w:line="182" w:lineRule="exact"/>
              <w:rPr>
                <w:rFonts w:ascii="Arial" w:cs="Arial" w:eastAsia="Arial" w:hAnsi="Arial"/>
                <w:sz w:val="18"/>
                <w:szCs w:val="18"/>
                <w:color w:val="0000EE"/>
              </w:rPr>
            </w:pPr>
            <w:hyperlink w:anchor="page275">
              <w:r>
                <w:rPr>
                  <w:rFonts w:ascii="Arial" w:cs="Arial" w:eastAsia="Arial" w:hAnsi="Arial"/>
                  <w:sz w:val="18"/>
                  <w:szCs w:val="18"/>
                  <w:color w:val="0000EE"/>
                </w:rPr>
                <w:t>Consolidated Balance Sheets as of December 31, 2018, 2019 and 2020</w:t>
              </w:r>
            </w:hyperlink>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80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77">
              <w:r>
                <w:rPr>
                  <w:rFonts w:ascii="Arial" w:cs="Arial" w:eastAsia="Arial" w:hAnsi="Arial"/>
                  <w:sz w:val="18"/>
                  <w:szCs w:val="18"/>
                  <w:color w:val="0000EE"/>
                  <w:w w:val="99"/>
                </w:rPr>
                <w:t>Consolidated Statements of Operations and Comprehensive Loss for the Years Ended December 31, 2018, 2019 and 2020</w:t>
              </w:r>
            </w:hyperlink>
          </w:p>
        </w:tc>
        <w:tc>
          <w:tcPr>
            <w:tcW w:w="660" w:type="dxa"/>
            <w:vAlign w:val="bottom"/>
            <w:gridSpan w:val="3"/>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10460" w:type="dxa"/>
            <w:vAlign w:val="bottom"/>
            <w:gridSpan w:val="16"/>
          </w:tcPr>
          <w:p>
            <w:pPr>
              <w:spacing w:after="0" w:line="182" w:lineRule="exact"/>
              <w:rPr>
                <w:rFonts w:ascii="Arial" w:cs="Arial" w:eastAsia="Arial" w:hAnsi="Arial"/>
                <w:sz w:val="18"/>
                <w:szCs w:val="18"/>
                <w:color w:val="0000EE"/>
              </w:rPr>
            </w:pPr>
            <w:hyperlink w:anchor="page278">
              <w:r>
                <w:rPr>
                  <w:rFonts w:ascii="Arial" w:cs="Arial" w:eastAsia="Arial" w:hAnsi="Arial"/>
                  <w:sz w:val="18"/>
                  <w:szCs w:val="18"/>
                  <w:color w:val="0000EE"/>
                </w:rPr>
                <w:t>Consolidated Statements of Changes in Shareholders’ Deficit for the Years Ended December 31, 2018, 2019 and 2020</w:t>
              </w:r>
            </w:hyperlink>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782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rPr>
            </w:pPr>
            <w:hyperlink w:anchor="page279">
              <w:r>
                <w:rPr>
                  <w:rFonts w:ascii="Arial" w:cs="Arial" w:eastAsia="Arial" w:hAnsi="Arial"/>
                  <w:sz w:val="18"/>
                  <w:szCs w:val="18"/>
                  <w:color w:val="0000EE"/>
                </w:rPr>
                <w:t>Consolidated Statements of Cash Flows for the Years Ended December 31, 2018, 2019 and 2020</w:t>
              </w:r>
            </w:hyperlink>
          </w:p>
        </w:tc>
        <w:tc>
          <w:tcPr>
            <w:tcW w:w="1620" w:type="dxa"/>
            <w:vAlign w:val="bottom"/>
            <w:tcBorders>
              <w:top w:val="single" w:sz="8" w:color="0000EE"/>
            </w:tcBorders>
            <w:gridSpan w:val="3"/>
          </w:tcPr>
          <w:p>
            <w:pPr>
              <w:spacing w:after="0"/>
              <w:rPr>
                <w:sz w:val="15"/>
                <w:szCs w:val="15"/>
                <w:color w:val="auto"/>
              </w:rPr>
            </w:pPr>
          </w:p>
        </w:tc>
        <w:tc>
          <w:tcPr>
            <w:tcW w:w="1020" w:type="dxa"/>
            <w:vAlign w:val="bottom"/>
            <w:gridSpan w:val="4"/>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3"/>
        </w:trPr>
        <w:tc>
          <w:tcPr>
            <w:tcW w:w="380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281">
              <w:r>
                <w:rPr>
                  <w:rFonts w:ascii="Arial" w:cs="Arial" w:eastAsia="Arial" w:hAnsi="Arial"/>
                  <w:sz w:val="18"/>
                  <w:szCs w:val="18"/>
                  <w:color w:val="0000EE"/>
                  <w:w w:val="99"/>
                </w:rPr>
                <w:t>Notes to the Consolidated Financial Statements</w:t>
              </w:r>
            </w:hyperlink>
          </w:p>
        </w:tc>
        <w:tc>
          <w:tcPr>
            <w:tcW w:w="6660" w:type="dxa"/>
            <w:vAlign w:val="bottom"/>
            <w:gridSpan w:val="12"/>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83"/>
        </w:trPr>
        <w:tc>
          <w:tcPr>
            <w:tcW w:w="10460" w:type="dxa"/>
            <w:vAlign w:val="bottom"/>
            <w:gridSpan w:val="16"/>
          </w:tcPr>
          <w:p>
            <w:pPr>
              <w:spacing w:after="0" w:line="182" w:lineRule="exact"/>
              <w:rPr>
                <w:rFonts w:ascii="Arial" w:cs="Arial" w:eastAsia="Arial" w:hAnsi="Arial"/>
                <w:sz w:val="18"/>
                <w:szCs w:val="18"/>
                <w:color w:val="0000EE"/>
              </w:rPr>
            </w:pPr>
            <w:hyperlink w:anchor="page320">
              <w:r>
                <w:rPr>
                  <w:rFonts w:ascii="Arial" w:cs="Arial" w:eastAsia="Arial" w:hAnsi="Arial"/>
                  <w:sz w:val="18"/>
                  <w:szCs w:val="18"/>
                  <w:color w:val="0000EE"/>
                </w:rPr>
                <w:t>Schedule I—Additional Information of the Parent Company</w:t>
              </w:r>
            </w:hyperlink>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60" w:type="dxa"/>
            <w:vAlign w:val="bottom"/>
            <w:gridSpan w:val="16"/>
          </w:tcPr>
          <w:p>
            <w:pPr>
              <w:spacing w:after="0"/>
              <w:rPr>
                <w:rFonts w:ascii="Arial" w:cs="Arial" w:eastAsia="Arial" w:hAnsi="Arial"/>
                <w:sz w:val="18"/>
                <w:szCs w:val="18"/>
                <w:color w:val="0000EE"/>
              </w:rPr>
            </w:pPr>
            <w:hyperlink w:anchor="page324">
              <w:r>
                <w:rPr>
                  <w:rFonts w:ascii="Arial" w:cs="Arial" w:eastAsia="Arial" w:hAnsi="Arial"/>
                  <w:sz w:val="18"/>
                  <w:szCs w:val="18"/>
                  <w:color w:val="0000EE"/>
                </w:rPr>
                <w:t>Unaudited Condensed Consolidated Balance Sheets as of December 31, 2020 and March 31, 2021</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60" w:type="dxa"/>
            <w:vAlign w:val="bottom"/>
            <w:gridSpan w:val="16"/>
          </w:tcPr>
          <w:p>
            <w:pPr>
              <w:spacing w:after="0" w:line="182" w:lineRule="exact"/>
              <w:rPr>
                <w:rFonts w:ascii="Arial" w:cs="Arial" w:eastAsia="Arial" w:hAnsi="Arial"/>
                <w:sz w:val="18"/>
                <w:szCs w:val="18"/>
                <w:color w:val="0000EE"/>
              </w:rPr>
            </w:pPr>
            <w:hyperlink w:anchor="page326">
              <w:r>
                <w:rPr>
                  <w:rFonts w:ascii="Arial" w:cs="Arial" w:eastAsia="Arial" w:hAnsi="Arial"/>
                  <w:sz w:val="18"/>
                  <w:szCs w:val="18"/>
                  <w:color w:val="0000EE"/>
                </w:rPr>
                <w:t>Unaudited Condensed Consolidated Statements of Operations and Comprehensive Loss for the Three Months Ended March 31,</w:t>
              </w:r>
            </w:hyperlink>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2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326">
              <w:r>
                <w:rPr>
                  <w:rFonts w:ascii="Arial" w:cs="Arial" w:eastAsia="Arial" w:hAnsi="Arial"/>
                  <w:sz w:val="18"/>
                  <w:szCs w:val="18"/>
                  <w:color w:val="0000EE"/>
                  <w:w w:val="98"/>
                </w:rPr>
                <w:t>2020 and 2021</w:t>
              </w:r>
            </w:hyperlink>
          </w:p>
        </w:tc>
        <w:tc>
          <w:tcPr>
            <w:tcW w:w="8820" w:type="dxa"/>
            <w:vAlign w:val="bottom"/>
            <w:tcBorders>
              <w:top w:val="single" w:sz="8" w:color="0000EE"/>
            </w:tcBorders>
            <w:gridSpan w:val="11"/>
          </w:tcPr>
          <w:p>
            <w:pPr>
              <w:spacing w:after="0"/>
              <w:rPr>
                <w:sz w:val="15"/>
                <w:szCs w:val="15"/>
                <w:color w:val="auto"/>
              </w:rPr>
            </w:pPr>
          </w:p>
        </w:tc>
        <w:tc>
          <w:tcPr>
            <w:tcW w:w="260" w:type="dxa"/>
            <w:vAlign w:val="bottom"/>
            <w:gridSpan w:val="2"/>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182"/>
        </w:trPr>
        <w:tc>
          <w:tcPr>
            <w:tcW w:w="10460" w:type="dxa"/>
            <w:vAlign w:val="bottom"/>
            <w:gridSpan w:val="16"/>
          </w:tcPr>
          <w:p>
            <w:pPr>
              <w:spacing w:after="0" w:line="182" w:lineRule="exact"/>
              <w:rPr>
                <w:rFonts w:ascii="Arial" w:cs="Arial" w:eastAsia="Arial" w:hAnsi="Arial"/>
                <w:sz w:val="18"/>
                <w:szCs w:val="18"/>
                <w:color w:val="0000EE"/>
              </w:rPr>
            </w:pPr>
            <w:hyperlink w:anchor="page327">
              <w:r>
                <w:rPr>
                  <w:rFonts w:ascii="Arial" w:cs="Arial" w:eastAsia="Arial" w:hAnsi="Arial"/>
                  <w:sz w:val="18"/>
                  <w:szCs w:val="18"/>
                  <w:color w:val="0000EE"/>
                </w:rPr>
                <w:t>Unaudited Condensed Consolidated Statements of Changes in Shareholders’ Deficit for the Three Months Ended March 31, 2020</w:t>
              </w:r>
            </w:hyperlink>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01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27">
              <w:r>
                <w:rPr>
                  <w:rFonts w:ascii="Arial" w:cs="Arial" w:eastAsia="Arial" w:hAnsi="Arial"/>
                  <w:sz w:val="18"/>
                  <w:szCs w:val="18"/>
                  <w:color w:val="0000EE"/>
                </w:rPr>
                <w:t>and 2021</w:t>
              </w:r>
            </w:hyperlink>
          </w:p>
        </w:tc>
        <w:tc>
          <w:tcPr>
            <w:tcW w:w="160" w:type="dxa"/>
            <w:vAlign w:val="bottom"/>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460" w:type="dxa"/>
            <w:vAlign w:val="bottom"/>
            <w:gridSpan w:val="16"/>
          </w:tcPr>
          <w:p>
            <w:pPr>
              <w:spacing w:after="0" w:line="182" w:lineRule="exact"/>
              <w:rPr>
                <w:rFonts w:ascii="Arial" w:cs="Arial" w:eastAsia="Arial" w:hAnsi="Arial"/>
                <w:sz w:val="18"/>
                <w:szCs w:val="18"/>
                <w:color w:val="0000EE"/>
              </w:rPr>
            </w:pPr>
            <w:hyperlink w:anchor="page328">
              <w:r>
                <w:rPr>
                  <w:rFonts w:ascii="Arial" w:cs="Arial" w:eastAsia="Arial" w:hAnsi="Arial"/>
                  <w:sz w:val="18"/>
                  <w:szCs w:val="18"/>
                  <w:color w:val="0000EE"/>
                </w:rPr>
                <w:t>Unaudited Condensed Consolidated Statements of Cash Flows for the Three Months Ended March 31, 2020 and 2021</w:t>
              </w:r>
            </w:hyperlink>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r>
        <w:trPr>
          <w:trHeight w:val="183"/>
        </w:trPr>
        <w:tc>
          <w:tcPr>
            <w:tcW w:w="56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329">
              <w:r>
                <w:rPr>
                  <w:rFonts w:ascii="Arial" w:cs="Arial" w:eastAsia="Arial" w:hAnsi="Arial"/>
                  <w:sz w:val="18"/>
                  <w:szCs w:val="18"/>
                  <w:color w:val="0000EE"/>
                  <w:w w:val="99"/>
                </w:rPr>
                <w:t>Notes to the Unaudited Condensed Consolidated Financial Statements</w:t>
              </w:r>
            </w:hyperlink>
          </w:p>
        </w:tc>
        <w:tc>
          <w:tcPr>
            <w:tcW w:w="3780" w:type="dxa"/>
            <w:vAlign w:val="bottom"/>
            <w:tcBorders>
              <w:top w:val="single" w:sz="8" w:color="0000EE"/>
            </w:tcBorders>
            <w:gridSpan w:val="4"/>
          </w:tcPr>
          <w:p>
            <w:pPr>
              <w:spacing w:after="0"/>
              <w:rPr>
                <w:sz w:val="15"/>
                <w:szCs w:val="15"/>
                <w:color w:val="auto"/>
              </w:rPr>
            </w:pPr>
          </w:p>
        </w:tc>
        <w:tc>
          <w:tcPr>
            <w:tcW w:w="1040" w:type="dxa"/>
            <w:vAlign w:val="bottom"/>
            <w:gridSpan w:val="5"/>
          </w:tcPr>
          <w:p>
            <w:pPr>
              <w:spacing w:after="0"/>
              <w:rPr>
                <w:sz w:val="15"/>
                <w:szCs w:val="15"/>
                <w:color w:val="auto"/>
              </w:rPr>
            </w:pPr>
          </w:p>
        </w:tc>
        <w:tc>
          <w:tcPr>
            <w:tcW w:w="5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F-57</w:t>
            </w:r>
          </w:p>
        </w:tc>
        <w:tc>
          <w:tcPr>
            <w:tcW w:w="0" w:type="dxa"/>
            <w:vAlign w:val="bottom"/>
          </w:tcPr>
          <w:p>
            <w:pPr>
              <w:spacing w:after="0"/>
              <w:rPr>
                <w:sz w:val="1"/>
                <w:szCs w:val="1"/>
                <w:color w:val="auto"/>
              </w:rPr>
            </w:pPr>
          </w:p>
        </w:tc>
      </w:tr>
      <w:tr>
        <w:trPr>
          <w:trHeight w:val="372"/>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10"/>
          </w:tcPr>
          <w:p>
            <w:pPr>
              <w:ind w:left="70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AiHuiShou International Co. Ltd.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6"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We have audited the accompanying consolidated balance sheets of AiHuiShou International Co. Ltd. (the “Company”) and its subsidiaries and variable interest entities (the “Group”) as of December 31, 2018, 2019 and 2020, the related consolidated statements of operations and comprehensive loss, changes in shareholders’ deficit, and cash flows, for each of the three years in the period ended December 31, 2020, and the related notes and the financial statement schedule (collectively referred to as the “financial statements”). In our opinion, the financial statements present fairly, in all material respects, the financial position of the Group as of December 31, 2018, 2019 and 2020, and the results of its operations and its cash flows for each of the three years in the period ended December 31, 2020, in conformity with accounting principles generally accepted in the United States of America.</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6" w:lineRule="exact"/>
        <w:rPr>
          <w:sz w:val="20"/>
          <w:szCs w:val="20"/>
          <w:color w:val="auto"/>
        </w:rPr>
      </w:pPr>
    </w:p>
    <w:p>
      <w:pPr>
        <w:ind w:left="120" w:right="300" w:firstLine="551"/>
        <w:spacing w:after="0" w:line="257" w:lineRule="auto"/>
        <w:rPr>
          <w:sz w:val="20"/>
          <w:szCs w:val="20"/>
          <w:color w:val="auto"/>
        </w:rPr>
      </w:pPr>
      <w:r>
        <w:rPr>
          <w:rFonts w:ascii="Arial" w:cs="Arial" w:eastAsia="Arial" w:hAnsi="Arial"/>
          <w:sz w:val="17"/>
          <w:szCs w:val="17"/>
          <w:color w:val="auto"/>
        </w:rPr>
        <w:t>These financial statements are the responsibility of the Group’s management. Our responsibility is to express an opinion on the Group’s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89"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Group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Group’s internal control over financial reporting. Accordingly, we express no such opinion.</w:t>
      </w:r>
    </w:p>
    <w:p>
      <w:pPr>
        <w:spacing w:after="0" w:line="19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Touche Tohmatsu Certified Public Accountants LLP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Shanghai, the People’s Republic of China</w:t>
      </w:r>
    </w:p>
    <w:p>
      <w:pPr>
        <w:ind w:left="120"/>
        <w:spacing w:after="0"/>
        <w:rPr>
          <w:sz w:val="20"/>
          <w:szCs w:val="20"/>
          <w:color w:val="auto"/>
        </w:rPr>
      </w:pPr>
      <w:r>
        <w:rPr>
          <w:rFonts w:ascii="Arial" w:cs="Arial" w:eastAsia="Arial" w:hAnsi="Arial"/>
          <w:sz w:val="18"/>
          <w:szCs w:val="18"/>
          <w:color w:val="auto"/>
        </w:rPr>
        <w:t>March 17, 2021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Group’s auditor since 2021.</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line="234" w:lineRule="auto"/>
        <w:rPr>
          <w:sz w:val="20"/>
          <w:szCs w:val="20"/>
          <w:color w:val="auto"/>
        </w:rPr>
      </w:pPr>
      <w:r>
        <w:rPr>
          <w:rFonts w:ascii="Arial" w:cs="Arial" w:eastAsia="Arial" w:hAnsi="Arial"/>
          <w:sz w:val="18"/>
          <w:szCs w:val="18"/>
          <w:b w:val="1"/>
          <w:bCs w:val="1"/>
          <w:color w:val="auto"/>
        </w:rPr>
        <w:t>AS OF DECEMBER 31, 2018, 2019 AND 2020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6"/>
              </w:rPr>
              <w:t>Note</w:t>
            </w:r>
          </w:p>
        </w:tc>
        <w:tc>
          <w:tcPr>
            <w:tcW w:w="9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1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8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2018</w:t>
            </w:r>
          </w:p>
        </w:tc>
        <w:tc>
          <w:tcPr>
            <w:tcW w:w="1140" w:type="dxa"/>
            <w:vAlign w:val="bottom"/>
            <w:gridSpan w:val="2"/>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98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665,560</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410,783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918,076</w:t>
            </w:r>
          </w:p>
        </w:tc>
        <w:tc>
          <w:tcPr>
            <w:tcW w:w="0" w:type="dxa"/>
            <w:vAlign w:val="bottom"/>
          </w:tcPr>
          <w:p>
            <w:pPr>
              <w:spacing w:after="0"/>
              <w:rPr>
                <w:sz w:val="1"/>
                <w:szCs w:val="1"/>
                <w:color w:val="auto"/>
              </w:rPr>
            </w:pPr>
          </w:p>
        </w:tc>
      </w:tr>
      <w:tr>
        <w:trPr>
          <w:trHeight w:val="202"/>
        </w:trPr>
        <w:tc>
          <w:tcPr>
            <w:tcW w:w="7160" w:type="dxa"/>
            <w:vAlign w:val="bottom"/>
          </w:tcPr>
          <w:p>
            <w:pPr>
              <w:ind w:left="360"/>
              <w:spacing w:after="0" w:line="201" w:lineRule="exact"/>
              <w:rPr>
                <w:sz w:val="20"/>
                <w:szCs w:val="20"/>
                <w:color w:val="auto"/>
              </w:rPr>
            </w:pPr>
            <w:r>
              <w:rPr>
                <w:rFonts w:ascii="Arial" w:cs="Arial" w:eastAsia="Arial" w:hAnsi="Arial"/>
                <w:sz w:val="18"/>
                <w:szCs w:val="18"/>
                <w:color w:val="auto"/>
              </w:rPr>
              <w:t>Short-term investments (including the fair value measured structured products of nil,</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540"/>
              <w:spacing w:after="0" w:line="203" w:lineRule="exact"/>
              <w:rPr>
                <w:sz w:val="20"/>
                <w:szCs w:val="20"/>
                <w:color w:val="auto"/>
              </w:rPr>
            </w:pPr>
            <w:r>
              <w:rPr>
                <w:rFonts w:ascii="Arial" w:cs="Arial" w:eastAsia="Arial" w:hAnsi="Arial"/>
                <w:sz w:val="18"/>
                <w:szCs w:val="18"/>
                <w:color w:val="auto"/>
              </w:rPr>
              <w:t>nil, and RMB71,775 as of December 31, 2018, 2019 and 2020)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line="203" w:lineRule="exact"/>
              <w:rPr>
                <w:sz w:val="20"/>
                <w:szCs w:val="20"/>
                <w:color w:val="auto"/>
              </w:rPr>
            </w:pPr>
            <w:r>
              <w:rPr>
                <w:rFonts w:ascii="Arial" w:cs="Arial" w:eastAsia="Arial" w:hAnsi="Arial"/>
                <w:sz w:val="18"/>
                <w:szCs w:val="18"/>
                <w:color w:val="auto"/>
              </w:rPr>
              <w:t>125,573</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97,866</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from related parties</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107,788</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265,227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289,156</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75,223</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65,557</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176,994</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third party payment service providers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110,617</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78,419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124,262</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Prepayments and other receivables, net</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100,342</w:t>
            </w:r>
          </w:p>
        </w:tc>
        <w:tc>
          <w:tcPr>
            <w:tcW w:w="16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149,349</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268,284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1,059,530</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1,094,908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1,874,638</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equity investees</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71,216</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89,301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96,362</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67,538</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99,218</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69,562</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 net</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18,991</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1,682,963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1,367,841</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1,803,415</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1,803,415</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13,200</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15,642</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217"/>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170,945</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3,690,539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3,351,700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1,230,475</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4,785,447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5,226,338</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Current liabilities: (</w:t>
            </w:r>
            <w:r>
              <w:rPr>
                <w:rFonts w:ascii="Arial" w:cs="Arial" w:eastAsia="Arial" w:hAnsi="Arial"/>
                <w:sz w:val="18"/>
                <w:szCs w:val="18"/>
                <w:color w:val="auto"/>
              </w:rPr>
              <w:t>including amounts of the consolidated VIE without recourse to</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AiHuiShou International Co. Ltd.) (See Note 2.2)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139,983</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167,983</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369,657</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42,696</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35,740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27,201</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143,257</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167,649</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396,612</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welfare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56,941</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115,857</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115,400</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Convertible bonds</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160,000</w:t>
            </w:r>
          </w:p>
        </w:tc>
        <w:tc>
          <w:tcPr>
            <w:tcW w:w="13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7"/>
                <w:szCs w:val="17"/>
                <w:color w:val="auto"/>
              </w:rPr>
            </w:pP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160,000</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to related parties</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47,825</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107,864</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114,669</w:t>
            </w:r>
          </w:p>
        </w:tc>
        <w:tc>
          <w:tcPr>
            <w:tcW w:w="0" w:type="dxa"/>
            <w:vAlign w:val="bottom"/>
          </w:tcPr>
          <w:p>
            <w:pPr>
              <w:spacing w:after="0"/>
              <w:rPr>
                <w:sz w:val="1"/>
                <w:szCs w:val="1"/>
                <w:color w:val="auto"/>
              </w:rPr>
            </w:pPr>
          </w:p>
        </w:tc>
      </w:tr>
      <w:tr>
        <w:trPr>
          <w:trHeight w:val="217"/>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590,702</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755,093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1,183,539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Long-term borrowings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6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32,624</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3,466</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389,280</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341,960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3,466</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389,280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594,168</w:t>
            </w:r>
          </w:p>
        </w:tc>
        <w:tc>
          <w:tcPr>
            <w:tcW w:w="13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1,144,373</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1,558,123</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5360"/>
              <w:spacing w:after="0"/>
              <w:rPr>
                <w:sz w:val="20"/>
                <w:szCs w:val="20"/>
                <w:color w:val="auto"/>
              </w:rPr>
            </w:pPr>
            <w:r>
              <w:rPr>
                <w:rFonts w:ascii="Arial" w:cs="Arial" w:eastAsia="Arial" w:hAnsi="Arial"/>
                <w:sz w:val="18"/>
                <w:szCs w:val="18"/>
                <w:color w:val="auto"/>
              </w:rPr>
              <w:t>F-3</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8" w:lineRule="auto"/>
        <w:rPr>
          <w:sz w:val="20"/>
          <w:szCs w:val="20"/>
          <w:color w:val="auto"/>
        </w:rPr>
      </w:pPr>
      <w:r>
        <w:rPr>
          <w:rFonts w:ascii="Arial" w:cs="Arial" w:eastAsia="Arial" w:hAnsi="Arial"/>
          <w:sz w:val="18"/>
          <w:szCs w:val="18"/>
          <w:b w:val="1"/>
          <w:bCs w:val="1"/>
          <w:color w:val="auto"/>
        </w:rPr>
        <w:t>AIHUISHOU INTERNATIONAL CO. LTD. CONSOLIDATED BALANCE SHEETS—(Continued) AS OF DECEMBER 31, 2018, 2019 AND 2020 (Amounts in thousands, except for share, per share data or otherwise noted)</w:t>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6"/>
              </w:rPr>
              <w:t>Note</w:t>
            </w: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jc w:val="right"/>
              <w:ind w:right="27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02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MEZZANINE EQUITY</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redeemable preferred shares (US$0.001 par value, 9,497,040</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shares authorized, issued and outstanding as of December 31, 2018, 2019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2020,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238,504</w:t>
            </w:r>
          </w:p>
        </w:tc>
        <w:tc>
          <w:tcPr>
            <w:tcW w:w="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361,963</w:t>
            </w:r>
          </w:p>
        </w:tc>
        <w:tc>
          <w:tcPr>
            <w:tcW w:w="11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445,275</w:t>
            </w:r>
          </w:p>
        </w:tc>
        <w:tc>
          <w:tcPr>
            <w:tcW w:w="0" w:type="dxa"/>
            <w:vAlign w:val="bottom"/>
          </w:tcPr>
          <w:p>
            <w:pPr>
              <w:spacing w:after="0"/>
              <w:rPr>
                <w:sz w:val="1"/>
                <w:szCs w:val="1"/>
                <w:color w:val="auto"/>
              </w:rPr>
            </w:pP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Series B convertible redeemable preferred shares (US$0.001 par value, 7,586,836</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line="202" w:lineRule="exact"/>
              <w:rPr>
                <w:sz w:val="20"/>
                <w:szCs w:val="20"/>
                <w:color w:val="auto"/>
              </w:rPr>
            </w:pPr>
            <w:r>
              <w:rPr>
                <w:rFonts w:ascii="Arial" w:cs="Arial" w:eastAsia="Arial" w:hAnsi="Arial"/>
                <w:sz w:val="18"/>
                <w:szCs w:val="18"/>
                <w:color w:val="auto"/>
              </w:rPr>
              <w:t>shares authorized, issued and outstanding as of December 31, 2018, 2019 and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line="203" w:lineRule="exact"/>
              <w:rPr>
                <w:sz w:val="20"/>
                <w:szCs w:val="20"/>
                <w:color w:val="auto"/>
              </w:rPr>
            </w:pPr>
            <w:r>
              <w:rPr>
                <w:rFonts w:ascii="Arial" w:cs="Arial" w:eastAsia="Arial" w:hAnsi="Arial"/>
                <w:sz w:val="18"/>
                <w:szCs w:val="18"/>
                <w:color w:val="auto"/>
              </w:rPr>
              <w:t>2020,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201,588</w:t>
            </w:r>
          </w:p>
        </w:tc>
        <w:tc>
          <w:tcPr>
            <w:tcW w:w="60" w:type="dxa"/>
            <w:vAlign w:val="bottom"/>
          </w:tcPr>
          <w:p>
            <w:pPr>
              <w:spacing w:after="0"/>
              <w:rPr>
                <w:sz w:val="17"/>
                <w:szCs w:val="17"/>
                <w:color w:val="auto"/>
              </w:rPr>
            </w:pPr>
          </w:p>
        </w:tc>
        <w:tc>
          <w:tcPr>
            <w:tcW w:w="142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295,666</w:t>
            </w:r>
          </w:p>
        </w:tc>
        <w:tc>
          <w:tcPr>
            <w:tcW w:w="11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361,633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 convertible redeemable preferred shares (US$0.001 par value,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33,320,256, 33,320,256, and 44,226,287 shares authorized, 33,320,256,</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33,320,256 and 33,320,256 issued and outstanding as of December 31, 2018,</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2019 and 2020,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1,041,923</w:t>
            </w:r>
          </w:p>
        </w:tc>
        <w:tc>
          <w:tcPr>
            <w:tcW w:w="6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1,393,992</w:t>
            </w:r>
          </w:p>
        </w:tc>
        <w:tc>
          <w:tcPr>
            <w:tcW w:w="11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1,705,435</w:t>
            </w:r>
          </w:p>
        </w:tc>
        <w:tc>
          <w:tcPr>
            <w:tcW w:w="0" w:type="dxa"/>
            <w:vAlign w:val="bottom"/>
          </w:tcPr>
          <w:p>
            <w:pPr>
              <w:spacing w:after="0"/>
              <w:rPr>
                <w:sz w:val="1"/>
                <w:szCs w:val="1"/>
                <w:color w:val="auto"/>
              </w:rPr>
            </w:pP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Series D convertible redeemable preferred shares (US$0.001 par value, 10,068,160</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line="202" w:lineRule="exact"/>
              <w:rPr>
                <w:sz w:val="20"/>
                <w:szCs w:val="20"/>
                <w:color w:val="auto"/>
              </w:rPr>
            </w:pPr>
            <w:r>
              <w:rPr>
                <w:rFonts w:ascii="Arial" w:cs="Arial" w:eastAsia="Arial" w:hAnsi="Arial"/>
                <w:sz w:val="18"/>
                <w:szCs w:val="18"/>
                <w:color w:val="auto"/>
              </w:rPr>
              <w:t>shares authorized, issued and outstanding as of December 31, 2018, 2019 and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80"/>
              <w:spacing w:after="0" w:line="203" w:lineRule="exact"/>
              <w:rPr>
                <w:sz w:val="20"/>
                <w:szCs w:val="20"/>
                <w:color w:val="auto"/>
              </w:rPr>
            </w:pPr>
            <w:r>
              <w:rPr>
                <w:rFonts w:ascii="Arial" w:cs="Arial" w:eastAsia="Arial" w:hAnsi="Arial"/>
                <w:sz w:val="18"/>
                <w:szCs w:val="18"/>
                <w:color w:val="auto"/>
              </w:rPr>
              <w:t>2020,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1,010,041</w:t>
            </w:r>
          </w:p>
        </w:tc>
        <w:tc>
          <w:tcPr>
            <w:tcW w:w="60" w:type="dxa"/>
            <w:vAlign w:val="bottom"/>
          </w:tcPr>
          <w:p>
            <w:pPr>
              <w:spacing w:after="0"/>
              <w:rPr>
                <w:sz w:val="17"/>
                <w:szCs w:val="17"/>
                <w:color w:val="auto"/>
              </w:rPr>
            </w:pPr>
          </w:p>
        </w:tc>
        <w:tc>
          <w:tcPr>
            <w:tcW w:w="142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1,005,852</w:t>
            </w:r>
          </w:p>
        </w:tc>
        <w:tc>
          <w:tcPr>
            <w:tcW w:w="11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1,153,593</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E convertible redeemable preferred shares (US$0.001 par value, 30,021,942</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and 36,122,625 shares authorized, 30,021,942 and 34,225,014 issued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outstanding as of December 31, 2019 and 2020,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4,022,605</w:t>
            </w:r>
          </w:p>
        </w:tc>
        <w:tc>
          <w:tcPr>
            <w:tcW w:w="11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5,213,958</w:t>
            </w:r>
          </w:p>
        </w:tc>
        <w:tc>
          <w:tcPr>
            <w:tcW w:w="0" w:type="dxa"/>
            <w:vAlign w:val="bottom"/>
          </w:tcPr>
          <w:p>
            <w:pPr>
              <w:spacing w:after="0"/>
              <w:rPr>
                <w:sz w:val="1"/>
                <w:szCs w:val="1"/>
                <w:color w:val="auto"/>
              </w:rPr>
            </w:pPr>
          </w:p>
        </w:tc>
      </w:tr>
      <w:tr>
        <w:trPr>
          <w:trHeight w:val="217"/>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2,492,056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7,080,078</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8,879,894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SHAREHOLDERS’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360"/>
              <w:spacing w:after="0" w:line="201" w:lineRule="exact"/>
              <w:rPr>
                <w:sz w:val="20"/>
                <w:szCs w:val="20"/>
                <w:color w:val="auto"/>
              </w:rPr>
            </w:pPr>
            <w:r>
              <w:rPr>
                <w:rFonts w:ascii="Arial" w:cs="Arial" w:eastAsia="Arial" w:hAnsi="Arial"/>
                <w:sz w:val="18"/>
                <w:szCs w:val="18"/>
                <w:color w:val="auto"/>
              </w:rPr>
              <w:t>Ordinary shares (US$0.001 par value, 89,527,708, 209,505,766 and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540"/>
              <w:spacing w:after="0" w:line="202" w:lineRule="exact"/>
              <w:rPr>
                <w:sz w:val="20"/>
                <w:szCs w:val="20"/>
                <w:color w:val="auto"/>
              </w:rPr>
            </w:pPr>
            <w:r>
              <w:rPr>
                <w:rFonts w:ascii="Arial" w:cs="Arial" w:eastAsia="Arial" w:hAnsi="Arial"/>
                <w:sz w:val="18"/>
                <w:szCs w:val="18"/>
                <w:color w:val="auto"/>
              </w:rPr>
              <w:t>192,499,052 shares authorized, 18,782,620 shares issued and outstanding</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540"/>
              <w:spacing w:after="0" w:line="203" w:lineRule="exact"/>
              <w:rPr>
                <w:sz w:val="20"/>
                <w:szCs w:val="20"/>
                <w:color w:val="auto"/>
              </w:rPr>
            </w:pPr>
            <w:r>
              <w:rPr>
                <w:rFonts w:ascii="Arial" w:cs="Arial" w:eastAsia="Arial" w:hAnsi="Arial"/>
                <w:sz w:val="18"/>
                <w:szCs w:val="18"/>
                <w:color w:val="auto"/>
              </w:rPr>
              <w:t>as of December 31, 2018, 2019 and 2020,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c>
          <w:tcPr>
            <w:tcW w:w="1420" w:type="dxa"/>
            <w:vAlign w:val="bottom"/>
            <w:gridSpan w:val="3"/>
          </w:tcPr>
          <w:p>
            <w:pPr>
              <w:jc w:val="right"/>
              <w:ind w:right="240"/>
              <w:spacing w:after="0" w:line="203" w:lineRule="exact"/>
              <w:rPr>
                <w:sz w:val="20"/>
                <w:szCs w:val="20"/>
                <w:color w:val="auto"/>
              </w:rPr>
            </w:pPr>
            <w:r>
              <w:rPr>
                <w:rFonts w:ascii="Arial" w:cs="Arial" w:eastAsia="Arial" w:hAnsi="Arial"/>
                <w:sz w:val="18"/>
                <w:szCs w:val="18"/>
                <w:color w:val="auto"/>
              </w:rPr>
              <w:t>11</w:t>
            </w:r>
          </w:p>
        </w:tc>
        <w:tc>
          <w:tcPr>
            <w:tcW w:w="11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(1,855,770)</w:t>
            </w:r>
          </w:p>
        </w:tc>
        <w:tc>
          <w:tcPr>
            <w:tcW w:w="14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(3,438,657)</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(5,213,773)</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(358)</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SHAREHOLDERS’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(1,855,749)</w:t>
            </w:r>
          </w:p>
        </w:tc>
        <w:tc>
          <w:tcPr>
            <w:tcW w:w="142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(3,439,004)</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(5,211,679)</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1,230,475</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4,785,447</w:t>
            </w:r>
          </w:p>
        </w:tc>
        <w:tc>
          <w:tcPr>
            <w:tcW w:w="2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5,226,338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line="234" w:lineRule="auto"/>
        <w:rPr>
          <w:sz w:val="20"/>
          <w:szCs w:val="20"/>
          <w:color w:val="auto"/>
        </w:rPr>
      </w:pPr>
      <w:r>
        <w:rPr>
          <w:rFonts w:ascii="Arial" w:cs="Arial" w:eastAsia="Arial" w:hAnsi="Arial"/>
          <w:sz w:val="18"/>
          <w:szCs w:val="18"/>
          <w:b w:val="1"/>
          <w:bCs w:val="1"/>
          <w:color w:val="auto"/>
        </w:rPr>
        <w:t>FOR THE YEARS ENDED DECEMBER 31, 2018, 2019 AND 2020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37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682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2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04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06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Net product revenues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3,249,923</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3,730,206</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4,244,023</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service revenues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11,597</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201,652</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614,176</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Merchandise costs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(2,801,433)</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(3,176,401)</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(3,610,434)</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Fulfillment expenses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(353,969)</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(658,149)</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(666,317)</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and marketing expenses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(237,562)</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(566,792)</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(740,542)</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(80,959)</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(140,874)</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(177,542)</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content expenses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(65,759)</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(142,858)</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(151,536)</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(3,539,682)</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(4,685,074)</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(5,346,371)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operating income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21,701</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21,410</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29,395</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(256,461)</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(731,806)</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(458,777)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(6,536)</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(12,397)</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(21,090)</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8,273</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7,813</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Fair value change in warrant liabilities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23,781</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Other income (loss), net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21,579</w:t>
            </w: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3,581</w:t>
            </w:r>
          </w:p>
        </w:tc>
        <w:tc>
          <w:tcPr>
            <w:tcW w:w="220" w:type="dxa"/>
            <w:vAlign w:val="bottom"/>
          </w:tcPr>
          <w:p>
            <w:pPr>
              <w:spacing w:after="0"/>
              <w:rPr>
                <w:sz w:val="17"/>
                <w:szCs w:val="17"/>
                <w:color w:val="auto"/>
              </w:rPr>
            </w:pP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(39,866)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Loss before income taxes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(209,364)</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(732,809)</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(510,412)</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Income tax benefits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1,922</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30,120</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47,320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of loss in equity method investments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(499)</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(2,199)</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(207,941)</w:t>
            </w:r>
          </w:p>
        </w:tc>
        <w:tc>
          <w:tcPr>
            <w:tcW w:w="2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(704,888)</w:t>
            </w:r>
          </w:p>
        </w:tc>
        <w:tc>
          <w:tcPr>
            <w:tcW w:w="2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(470,618)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(878,319)</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(877,999)</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(1,304,498)</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20"/>
                <w:szCs w:val="20"/>
                <w:color w:val="auto"/>
              </w:rPr>
            </w:pPr>
            <w:r>
              <w:rPr>
                <w:rFonts w:ascii="Arial" w:cs="Arial" w:eastAsia="Arial" w:hAnsi="Arial"/>
                <w:sz w:val="18"/>
                <w:szCs w:val="18"/>
                <w:b w:val="1"/>
                <w:bCs w:val="1"/>
                <w:color w:val="auto"/>
              </w:rPr>
              <w:t>Net loss attributable to ordinary shareholders of the Company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(1,086,260)</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(1,582,887)</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(1,775,116)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loss per share attributable to ordinary shareholders: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(55.98)</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(84.27)</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(55.98)</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(84.27)</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180"/>
        </w:trPr>
        <w:tc>
          <w:tcPr>
            <w:tcW w:w="6820" w:type="dxa"/>
            <w:vAlign w:val="bottom"/>
          </w:tcPr>
          <w:p>
            <w:pPr>
              <w:spacing w:after="0" w:line="180" w:lineRule="exact"/>
              <w:rPr>
                <w:sz w:val="20"/>
                <w:szCs w:val="20"/>
                <w:color w:val="auto"/>
              </w:rPr>
            </w:pPr>
            <w:r>
              <w:rPr>
                <w:rFonts w:ascii="Arial" w:cs="Arial" w:eastAsia="Arial" w:hAnsi="Arial"/>
                <w:sz w:val="18"/>
                <w:szCs w:val="18"/>
                <w:b w:val="1"/>
                <w:bCs w:val="1"/>
                <w:color w:val="auto"/>
              </w:rPr>
              <w:t>Weighted average number of shares used in calculating net loss per ordinary</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820" w:type="dxa"/>
            <w:vAlign w:val="bottom"/>
          </w:tcPr>
          <w:p>
            <w:pPr>
              <w:ind w:left="180"/>
              <w:spacing w:after="0"/>
              <w:rPr>
                <w:sz w:val="20"/>
                <w:szCs w:val="20"/>
                <w:color w:val="auto"/>
              </w:rPr>
            </w:pPr>
            <w:r>
              <w:rPr>
                <w:rFonts w:ascii="Arial" w:cs="Arial" w:eastAsia="Arial" w:hAnsi="Arial"/>
                <w:sz w:val="18"/>
                <w:szCs w:val="18"/>
                <w:b w:val="1"/>
                <w:bCs w:val="1"/>
                <w:color w:val="auto"/>
              </w:rPr>
              <w:t>share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19,405,981</w:t>
            </w: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18,782,620</w:t>
            </w:r>
          </w:p>
        </w:tc>
        <w:tc>
          <w:tcPr>
            <w:tcW w:w="12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18,782,620</w:t>
            </w:r>
          </w:p>
        </w:tc>
        <w:tc>
          <w:tcPr>
            <w:tcW w:w="0" w:type="dxa"/>
            <w:vAlign w:val="bottom"/>
          </w:tcPr>
          <w:p>
            <w:pPr>
              <w:spacing w:after="0"/>
              <w:rPr>
                <w:sz w:val="1"/>
                <w:szCs w:val="1"/>
                <w:color w:val="auto"/>
              </w:rPr>
            </w:pPr>
          </w:p>
        </w:tc>
      </w:tr>
      <w:tr>
        <w:trPr>
          <w:trHeight w:val="203"/>
        </w:trPr>
        <w:tc>
          <w:tcPr>
            <w:tcW w:w="6820" w:type="dxa"/>
            <w:vAlign w:val="bottom"/>
          </w:tcPr>
          <w:p>
            <w:pPr>
              <w:ind w:left="36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19,405,981</w:t>
            </w: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18,782,620</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18,782,620</w:t>
            </w: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(207,941)</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(704,888)</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(470,618)</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(368)</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comprehensive loss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(207,931)</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(705,256)</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(468,177)</w:t>
            </w:r>
          </w:p>
        </w:tc>
        <w:tc>
          <w:tcPr>
            <w:tcW w:w="0" w:type="dxa"/>
            <w:vAlign w:val="bottom"/>
          </w:tcPr>
          <w:p>
            <w:pPr>
              <w:spacing w:after="0"/>
              <w:rPr>
                <w:sz w:val="1"/>
                <w:szCs w:val="1"/>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(878,319)</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(877,999)</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(1,304,498)</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comprehensive loss attributable to ordinary shareholders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(1,086,250)</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(1,583,255)</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(1,772,675)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CONSOLIDATED STATEMENTS OF CHANGES IN SHAREHOLDERS’ DEFICIT FOR THE YEARS ENDED DECEMBER 31, 2018, 2019 AND 2020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Accumulated other</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3580" w:type="dxa"/>
            <w:vAlign w:val="bottom"/>
          </w:tcPr>
          <w:p>
            <w:pPr>
              <w:spacing w:after="0"/>
              <w:rPr>
                <w:sz w:val="14"/>
                <w:szCs w:val="14"/>
                <w:color w:val="auto"/>
              </w:rPr>
            </w:pPr>
          </w:p>
        </w:tc>
        <w:tc>
          <w:tcPr>
            <w:tcW w:w="1520" w:type="dxa"/>
            <w:vAlign w:val="bottom"/>
            <w:gridSpan w:val="3"/>
          </w:tcPr>
          <w:p>
            <w:pPr>
              <w:jc w:val="center"/>
              <w:ind w:left="254"/>
              <w:spacing w:after="0"/>
              <w:rPr>
                <w:sz w:val="20"/>
                <w:szCs w:val="20"/>
                <w:color w:val="auto"/>
              </w:rPr>
            </w:pPr>
            <w:r>
              <w:rPr>
                <w:rFonts w:ascii="Arial" w:cs="Arial" w:eastAsia="Arial" w:hAnsi="Arial"/>
                <w:sz w:val="14"/>
                <w:szCs w:val="14"/>
                <w:b w:val="1"/>
                <w:bCs w:val="1"/>
                <w:color w:val="auto"/>
              </w:rPr>
              <w:t>Ordinary shares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jc w:val="center"/>
              <w:ind w:right="481"/>
              <w:spacing w:after="0"/>
              <w:rPr>
                <w:sz w:val="20"/>
                <w:szCs w:val="20"/>
                <w:color w:val="auto"/>
              </w:rPr>
            </w:pPr>
            <w:r>
              <w:rPr>
                <w:rFonts w:ascii="Arial" w:cs="Arial" w:eastAsia="Arial" w:hAnsi="Arial"/>
                <w:sz w:val="14"/>
                <w:szCs w:val="14"/>
                <w:b w:val="1"/>
                <w:bCs w:val="1"/>
                <w:color w:val="auto"/>
              </w:rPr>
              <w:t>Accumulated</w:t>
            </w:r>
          </w:p>
        </w:tc>
        <w:tc>
          <w:tcPr>
            <w:tcW w:w="2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comprehensive income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shareholders’</w:t>
            </w:r>
          </w:p>
        </w:tc>
      </w:tr>
      <w:tr>
        <w:trPr>
          <w:trHeight w:val="175"/>
        </w:trPr>
        <w:tc>
          <w:tcPr>
            <w:tcW w:w="3580" w:type="dxa"/>
            <w:vAlign w:val="bottom"/>
          </w:tcPr>
          <w:p>
            <w:pPr>
              <w:spacing w:after="0"/>
              <w:rPr>
                <w:sz w:val="15"/>
                <w:szCs w:val="15"/>
                <w:color w:val="auto"/>
              </w:rPr>
            </w:pPr>
          </w:p>
        </w:tc>
        <w:tc>
          <w:tcPr>
            <w:tcW w:w="236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(par value US$0.001)</w:t>
            </w:r>
          </w:p>
        </w:tc>
        <w:tc>
          <w:tcPr>
            <w:tcW w:w="1460" w:type="dxa"/>
            <w:vAlign w:val="bottom"/>
            <w:gridSpan w:val="2"/>
          </w:tcPr>
          <w:p>
            <w:pPr>
              <w:jc w:val="center"/>
              <w:ind w:right="461"/>
              <w:spacing w:after="0"/>
              <w:rPr>
                <w:sz w:val="20"/>
                <w:szCs w:val="20"/>
                <w:color w:val="auto"/>
              </w:rPr>
            </w:pPr>
            <w:r>
              <w:rPr>
                <w:rFonts w:ascii="Arial" w:cs="Arial" w:eastAsia="Arial" w:hAnsi="Arial"/>
                <w:sz w:val="14"/>
                <w:szCs w:val="14"/>
                <w:b w:val="1"/>
                <w:bCs w:val="1"/>
                <w:color w:val="auto"/>
              </w:rPr>
              <w:t>Deficit</w:t>
            </w:r>
          </w:p>
        </w:tc>
        <w:tc>
          <w:tcPr>
            <w:tcW w:w="2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(loss)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deficit</w:t>
            </w:r>
          </w:p>
        </w:tc>
      </w:tr>
      <w:tr>
        <w:trPr>
          <w:trHeight w:val="142"/>
        </w:trPr>
        <w:tc>
          <w:tcPr>
            <w:tcW w:w="3580" w:type="dxa"/>
            <w:vAlign w:val="bottom"/>
          </w:tcPr>
          <w:p>
            <w:pPr>
              <w:spacing w:after="0"/>
              <w:rPr>
                <w:sz w:val="12"/>
                <w:szCs w:val="12"/>
                <w:color w:val="auto"/>
              </w:rPr>
            </w:pPr>
          </w:p>
        </w:tc>
        <w:tc>
          <w:tcPr>
            <w:tcW w:w="1520" w:type="dxa"/>
            <w:vAlign w:val="bottom"/>
            <w:tcBorders>
              <w:top w:val="single" w:sz="8" w:color="auto"/>
            </w:tcBorders>
            <w:gridSpan w:val="3"/>
          </w:tcPr>
          <w:p>
            <w:pPr>
              <w:jc w:val="right"/>
              <w:ind w:right="680"/>
              <w:spacing w:after="0" w:line="143" w:lineRule="exact"/>
              <w:rPr>
                <w:sz w:val="20"/>
                <w:szCs w:val="20"/>
                <w:color w:val="auto"/>
              </w:rPr>
            </w:pPr>
            <w:r>
              <w:rPr>
                <w:rFonts w:ascii="Arial" w:cs="Arial" w:eastAsia="Arial" w:hAnsi="Arial"/>
                <w:sz w:val="14"/>
                <w:szCs w:val="14"/>
                <w:b w:val="1"/>
                <w:bCs w:val="1"/>
                <w:color w:val="auto"/>
              </w:rPr>
              <w:t>Number of</w:t>
            </w:r>
          </w:p>
        </w:tc>
        <w:tc>
          <w:tcPr>
            <w:tcW w:w="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3580" w:type="dxa"/>
            <w:vAlign w:val="bottom"/>
          </w:tcPr>
          <w:p>
            <w:pPr>
              <w:spacing w:after="0"/>
              <w:rPr>
                <w:sz w:val="15"/>
                <w:szCs w:val="15"/>
                <w:color w:val="auto"/>
              </w:rPr>
            </w:pPr>
          </w:p>
        </w:tc>
        <w:tc>
          <w:tcPr>
            <w:tcW w:w="15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RMB</w:t>
            </w:r>
          </w:p>
        </w:tc>
        <w:tc>
          <w:tcPr>
            <w:tcW w:w="1460" w:type="dxa"/>
            <w:vAlign w:val="bottom"/>
            <w:gridSpan w:val="2"/>
          </w:tcPr>
          <w:p>
            <w:pPr>
              <w:jc w:val="center"/>
              <w:ind w:right="461"/>
              <w:spacing w:after="0"/>
              <w:rPr>
                <w:sz w:val="20"/>
                <w:szCs w:val="20"/>
                <w:color w:val="auto"/>
              </w:rPr>
            </w:pPr>
            <w:r>
              <w:rPr>
                <w:rFonts w:ascii="Arial" w:cs="Arial" w:eastAsia="Arial" w:hAnsi="Arial"/>
                <w:sz w:val="14"/>
                <w:szCs w:val="14"/>
                <w:b w:val="1"/>
                <w:bCs w:val="1"/>
                <w:color w:val="auto"/>
              </w:rPr>
              <w:t>RMB</w:t>
            </w:r>
          </w:p>
        </w:tc>
        <w:tc>
          <w:tcPr>
            <w:tcW w:w="21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RMB</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RMB</w:t>
            </w: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January 1, 2018</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20,710,813</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(747,433)</w:t>
            </w:r>
          </w:p>
        </w:tc>
        <w:tc>
          <w:tcPr>
            <w:tcW w:w="5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(747,422)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3580" w:type="dxa"/>
            <w:vAlign w:val="bottom"/>
          </w:tcPr>
          <w:p>
            <w:pPr>
              <w:ind w:left="360"/>
              <w:spacing w:after="0" w:line="202" w:lineRule="exact"/>
              <w:rPr>
                <w:sz w:val="20"/>
                <w:szCs w:val="20"/>
                <w:color w:val="auto"/>
              </w:rPr>
            </w:pPr>
            <w:r>
              <w:rPr>
                <w:rFonts w:ascii="Arial" w:cs="Arial" w:eastAsia="Arial" w:hAnsi="Arial"/>
                <w:sz w:val="18"/>
                <w:szCs w:val="18"/>
                <w:color w:val="auto"/>
              </w:rPr>
              <w:t>Repurchase of Ordinary shares</w:t>
            </w:r>
          </w:p>
        </w:tc>
        <w:tc>
          <w:tcPr>
            <w:tcW w:w="1520" w:type="dxa"/>
            <w:vAlign w:val="bottom"/>
            <w:gridSpan w:val="3"/>
          </w:tcPr>
          <w:p>
            <w:pPr>
              <w:jc w:val="right"/>
              <w:ind w:right="500"/>
              <w:spacing w:after="0" w:line="202" w:lineRule="exact"/>
              <w:rPr>
                <w:sz w:val="20"/>
                <w:szCs w:val="20"/>
                <w:color w:val="auto"/>
              </w:rPr>
            </w:pPr>
            <w:r>
              <w:rPr>
                <w:rFonts w:ascii="Arial" w:cs="Arial" w:eastAsia="Arial" w:hAnsi="Arial"/>
                <w:sz w:val="18"/>
                <w:szCs w:val="18"/>
                <w:color w:val="auto"/>
              </w:rPr>
              <w:t>(1,928,193)</w:t>
            </w:r>
          </w:p>
        </w:tc>
        <w:tc>
          <w:tcPr>
            <w:tcW w:w="84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01"/>
              <w:spacing w:after="0" w:line="202" w:lineRule="exact"/>
              <w:rPr>
                <w:sz w:val="20"/>
                <w:szCs w:val="20"/>
                <w:color w:val="auto"/>
              </w:rPr>
            </w:pPr>
            <w:r>
              <w:rPr>
                <w:rFonts w:ascii="Arial" w:cs="Arial" w:eastAsia="Arial" w:hAnsi="Arial"/>
                <w:sz w:val="18"/>
                <w:szCs w:val="18"/>
                <w:color w:val="auto"/>
              </w:rPr>
              <w:t>(22,077)</w:t>
            </w:r>
          </w:p>
        </w:tc>
        <w:tc>
          <w:tcPr>
            <w:tcW w:w="21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(22,077)</w:t>
            </w:r>
          </w:p>
        </w:tc>
      </w:tr>
      <w:tr>
        <w:trPr>
          <w:trHeight w:val="203"/>
        </w:trPr>
        <w:tc>
          <w:tcPr>
            <w:tcW w:w="3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152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(207,941)</w:t>
            </w:r>
          </w:p>
        </w:tc>
        <w:tc>
          <w:tcPr>
            <w:tcW w:w="21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(207,941)</w:t>
            </w:r>
          </w:p>
        </w:tc>
      </w:tr>
      <w:tr>
        <w:trPr>
          <w:trHeight w:val="202"/>
        </w:trPr>
        <w:tc>
          <w:tcPr>
            <w:tcW w:w="3580" w:type="dxa"/>
            <w:vAlign w:val="bottom"/>
          </w:tcPr>
          <w:p>
            <w:pPr>
              <w:ind w:left="360"/>
              <w:spacing w:after="0" w:line="201" w:lineRule="exact"/>
              <w:rPr>
                <w:sz w:val="20"/>
                <w:szCs w:val="20"/>
                <w:color w:val="auto"/>
              </w:rPr>
            </w:pPr>
            <w:r>
              <w:rPr>
                <w:rFonts w:ascii="Arial" w:cs="Arial" w:eastAsia="Arial" w:hAnsi="Arial"/>
                <w:sz w:val="18"/>
                <w:szCs w:val="18"/>
                <w:color w:val="auto"/>
              </w:rPr>
              <w:t>Accretion on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Arial" w:cs="Arial" w:eastAsia="Arial" w:hAnsi="Arial"/>
                <w:sz w:val="18"/>
                <w:szCs w:val="18"/>
                <w:color w:val="auto"/>
              </w:rPr>
              <w:t>redeemable preferred shares</w:t>
            </w:r>
          </w:p>
        </w:tc>
        <w:tc>
          <w:tcPr>
            <w:tcW w:w="1520" w:type="dxa"/>
            <w:vAlign w:val="bottom"/>
            <w:gridSpan w:val="3"/>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01"/>
              <w:spacing w:after="0" w:line="203" w:lineRule="exact"/>
              <w:rPr>
                <w:sz w:val="20"/>
                <w:szCs w:val="20"/>
                <w:color w:val="auto"/>
              </w:rPr>
            </w:pPr>
            <w:r>
              <w:rPr>
                <w:rFonts w:ascii="Arial" w:cs="Arial" w:eastAsia="Arial" w:hAnsi="Arial"/>
                <w:sz w:val="18"/>
                <w:szCs w:val="18"/>
                <w:color w:val="auto"/>
              </w:rPr>
              <w:t>(878,319)</w:t>
            </w:r>
          </w:p>
        </w:tc>
        <w:tc>
          <w:tcPr>
            <w:tcW w:w="216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(878,319)</w:t>
            </w:r>
          </w:p>
        </w:tc>
      </w:tr>
      <w:tr>
        <w:trPr>
          <w:trHeight w:val="202"/>
        </w:trPr>
        <w:tc>
          <w:tcPr>
            <w:tcW w:w="3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58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adjustments</w:t>
            </w:r>
          </w:p>
        </w:tc>
        <w:tc>
          <w:tcPr>
            <w:tcW w:w="1520" w:type="dxa"/>
            <w:vAlign w:val="bottom"/>
            <w:gridSpan w:val="3"/>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1"/>
              <w:spacing w:after="0" w:line="203"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10</w:t>
            </w:r>
          </w:p>
        </w:tc>
      </w:tr>
      <w:tr>
        <w:trPr>
          <w:trHeight w:val="210"/>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18,782,620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(1,855,770)</w:t>
            </w:r>
          </w:p>
        </w:tc>
        <w:tc>
          <w:tcPr>
            <w:tcW w:w="54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54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(1,855,749)</w:t>
            </w:r>
          </w:p>
        </w:tc>
        <w:tc>
          <w:tcPr>
            <w:tcW w:w="120" w:type="dxa"/>
            <w:vAlign w:val="bottom"/>
          </w:tcPr>
          <w:p>
            <w:pPr>
              <w:spacing w:after="0"/>
              <w:rPr>
                <w:sz w:val="18"/>
                <w:szCs w:val="18"/>
                <w:color w:val="auto"/>
              </w:rPr>
            </w:pPr>
          </w:p>
        </w:tc>
      </w:tr>
      <w:tr>
        <w:trPr>
          <w:trHeight w:val="203"/>
        </w:trPr>
        <w:tc>
          <w:tcPr>
            <w:tcW w:w="3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152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(704,888)</w:t>
            </w:r>
          </w:p>
        </w:tc>
        <w:tc>
          <w:tcPr>
            <w:tcW w:w="21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(704,888)</w:t>
            </w:r>
          </w:p>
        </w:tc>
      </w:tr>
      <w:tr>
        <w:trPr>
          <w:trHeight w:val="202"/>
        </w:trPr>
        <w:tc>
          <w:tcPr>
            <w:tcW w:w="3580" w:type="dxa"/>
            <w:vAlign w:val="bottom"/>
          </w:tcPr>
          <w:p>
            <w:pPr>
              <w:ind w:left="360"/>
              <w:spacing w:after="0" w:line="201" w:lineRule="exact"/>
              <w:rPr>
                <w:sz w:val="20"/>
                <w:szCs w:val="20"/>
                <w:color w:val="auto"/>
              </w:rPr>
            </w:pPr>
            <w:r>
              <w:rPr>
                <w:rFonts w:ascii="Arial" w:cs="Arial" w:eastAsia="Arial" w:hAnsi="Arial"/>
                <w:sz w:val="18"/>
                <w:szCs w:val="18"/>
                <w:color w:val="auto"/>
              </w:rPr>
              <w:t>Accretion on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Arial" w:cs="Arial" w:eastAsia="Arial" w:hAnsi="Arial"/>
                <w:sz w:val="18"/>
                <w:szCs w:val="18"/>
                <w:color w:val="auto"/>
              </w:rPr>
              <w:t>redeemable preferred shares</w:t>
            </w:r>
          </w:p>
        </w:tc>
        <w:tc>
          <w:tcPr>
            <w:tcW w:w="1520" w:type="dxa"/>
            <w:vAlign w:val="bottom"/>
            <w:gridSpan w:val="3"/>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01"/>
              <w:spacing w:after="0" w:line="203" w:lineRule="exact"/>
              <w:rPr>
                <w:sz w:val="20"/>
                <w:szCs w:val="20"/>
                <w:color w:val="auto"/>
              </w:rPr>
            </w:pPr>
            <w:r>
              <w:rPr>
                <w:rFonts w:ascii="Arial" w:cs="Arial" w:eastAsia="Arial" w:hAnsi="Arial"/>
                <w:sz w:val="18"/>
                <w:szCs w:val="18"/>
                <w:color w:val="auto"/>
              </w:rPr>
              <w:t>(877,999)</w:t>
            </w:r>
          </w:p>
        </w:tc>
        <w:tc>
          <w:tcPr>
            <w:tcW w:w="216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(877,999)</w:t>
            </w:r>
          </w:p>
        </w:tc>
      </w:tr>
      <w:tr>
        <w:trPr>
          <w:trHeight w:val="202"/>
        </w:trPr>
        <w:tc>
          <w:tcPr>
            <w:tcW w:w="3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58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adjustments</w:t>
            </w:r>
          </w:p>
        </w:tc>
        <w:tc>
          <w:tcPr>
            <w:tcW w:w="1520" w:type="dxa"/>
            <w:vAlign w:val="bottom"/>
            <w:gridSpan w:val="3"/>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1"/>
              <w:spacing w:after="0" w:line="203"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(368)</w:t>
            </w:r>
          </w:p>
        </w:tc>
        <w:tc>
          <w:tcPr>
            <w:tcW w:w="1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(368)</w:t>
            </w:r>
          </w:p>
        </w:tc>
      </w:tr>
      <w:tr>
        <w:trPr>
          <w:trHeight w:val="209"/>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18,782,620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(3,438,657)</w:t>
            </w:r>
          </w:p>
        </w:tc>
        <w:tc>
          <w:tcPr>
            <w:tcW w:w="540" w:type="dxa"/>
            <w:vAlign w:val="bottom"/>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54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(3,439,004)</w:t>
            </w:r>
          </w:p>
        </w:tc>
        <w:tc>
          <w:tcPr>
            <w:tcW w:w="120" w:type="dxa"/>
            <w:vAlign w:val="bottom"/>
          </w:tcPr>
          <w:p>
            <w:pPr>
              <w:spacing w:after="0"/>
              <w:rPr>
                <w:sz w:val="18"/>
                <w:szCs w:val="18"/>
                <w:color w:val="auto"/>
              </w:rPr>
            </w:pPr>
          </w:p>
        </w:tc>
      </w:tr>
      <w:tr>
        <w:trPr>
          <w:trHeight w:val="203"/>
        </w:trPr>
        <w:tc>
          <w:tcPr>
            <w:tcW w:w="35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152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(470,618)</w:t>
            </w:r>
          </w:p>
        </w:tc>
        <w:tc>
          <w:tcPr>
            <w:tcW w:w="21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(470,618)</w:t>
            </w:r>
          </w:p>
        </w:tc>
      </w:tr>
      <w:tr>
        <w:trPr>
          <w:trHeight w:val="202"/>
        </w:trPr>
        <w:tc>
          <w:tcPr>
            <w:tcW w:w="3580" w:type="dxa"/>
            <w:vAlign w:val="bottom"/>
          </w:tcPr>
          <w:p>
            <w:pPr>
              <w:ind w:left="360"/>
              <w:spacing w:after="0" w:line="201" w:lineRule="exact"/>
              <w:rPr>
                <w:sz w:val="20"/>
                <w:szCs w:val="20"/>
                <w:color w:val="auto"/>
              </w:rPr>
            </w:pPr>
            <w:r>
              <w:rPr>
                <w:rFonts w:ascii="Arial" w:cs="Arial" w:eastAsia="Arial" w:hAnsi="Arial"/>
                <w:sz w:val="18"/>
                <w:szCs w:val="18"/>
                <w:color w:val="auto"/>
              </w:rPr>
              <w:t>Accretion on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580" w:type="dxa"/>
            <w:vAlign w:val="bottom"/>
          </w:tcPr>
          <w:p>
            <w:pPr>
              <w:ind w:left="540"/>
              <w:spacing w:after="0" w:line="203" w:lineRule="exact"/>
              <w:rPr>
                <w:sz w:val="20"/>
                <w:szCs w:val="20"/>
                <w:color w:val="auto"/>
              </w:rPr>
            </w:pPr>
            <w:r>
              <w:rPr>
                <w:rFonts w:ascii="Arial" w:cs="Arial" w:eastAsia="Arial" w:hAnsi="Arial"/>
                <w:sz w:val="18"/>
                <w:szCs w:val="18"/>
                <w:color w:val="auto"/>
              </w:rPr>
              <w:t>redeemable preferred shares</w:t>
            </w:r>
          </w:p>
        </w:tc>
        <w:tc>
          <w:tcPr>
            <w:tcW w:w="1520" w:type="dxa"/>
            <w:vAlign w:val="bottom"/>
            <w:gridSpan w:val="3"/>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401"/>
              <w:spacing w:after="0" w:line="203" w:lineRule="exact"/>
              <w:rPr>
                <w:sz w:val="20"/>
                <w:szCs w:val="20"/>
                <w:color w:val="auto"/>
              </w:rPr>
            </w:pPr>
            <w:r>
              <w:rPr>
                <w:rFonts w:ascii="Arial" w:cs="Arial" w:eastAsia="Arial" w:hAnsi="Arial"/>
                <w:sz w:val="18"/>
                <w:szCs w:val="18"/>
                <w:color w:val="auto"/>
              </w:rPr>
              <w:t>(1,304,498)</w:t>
            </w:r>
          </w:p>
        </w:tc>
        <w:tc>
          <w:tcPr>
            <w:tcW w:w="216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(1,304,498)</w:t>
            </w:r>
          </w:p>
        </w:tc>
      </w:tr>
      <w:tr>
        <w:trPr>
          <w:trHeight w:val="202"/>
        </w:trPr>
        <w:tc>
          <w:tcPr>
            <w:tcW w:w="3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358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adjustments</w:t>
            </w:r>
          </w:p>
        </w:tc>
        <w:tc>
          <w:tcPr>
            <w:tcW w:w="1520" w:type="dxa"/>
            <w:vAlign w:val="bottom"/>
            <w:gridSpan w:val="3"/>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1"/>
              <w:spacing w:after="0" w:line="203"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2,441</w:t>
            </w:r>
          </w:p>
        </w:tc>
        <w:tc>
          <w:tcPr>
            <w:tcW w:w="14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2,441</w:t>
            </w:r>
          </w:p>
        </w:tc>
      </w:tr>
      <w:tr>
        <w:trPr>
          <w:trHeight w:val="210"/>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18,782,620</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(5,213,773</w:t>
            </w:r>
          </w:p>
        </w:tc>
        <w:tc>
          <w:tcPr>
            <w:tcW w:w="540" w:type="dxa"/>
            <w:vAlign w:val="bottom"/>
          </w:tcPr>
          <w:p>
            <w:pPr>
              <w:jc w:val="right"/>
              <w:ind w:right="401"/>
              <w:spacing w:after="0"/>
              <w:rPr>
                <w:sz w:val="20"/>
                <w:szCs w:val="20"/>
                <w:color w:val="auto"/>
              </w:rPr>
            </w:pPr>
            <w:r>
              <w:rPr>
                <w:rFonts w:ascii="Arial" w:cs="Arial" w:eastAsia="Arial" w:hAnsi="Arial"/>
                <w:sz w:val="16"/>
                <w:szCs w:val="16"/>
                <w:b w:val="1"/>
                <w:bCs w:val="1"/>
                <w:color w:val="auto"/>
                <w:w w:val="74"/>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w:t>
            </w:r>
          </w:p>
        </w:tc>
        <w:tc>
          <w:tcPr>
            <w:tcW w:w="54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(5,211,679)</w:t>
            </w:r>
          </w:p>
        </w:tc>
        <w:tc>
          <w:tcPr>
            <w:tcW w:w="120" w:type="dxa"/>
            <w:vAlign w:val="bottom"/>
          </w:tcPr>
          <w:p>
            <w:pPr>
              <w:spacing w:after="0"/>
              <w:rPr>
                <w:sz w:val="18"/>
                <w:szCs w:val="18"/>
                <w:color w:val="auto"/>
              </w:rPr>
            </w:pPr>
          </w:p>
        </w:tc>
      </w:tr>
      <w:tr>
        <w:trPr>
          <w:trHeight w:val="20"/>
        </w:trPr>
        <w:tc>
          <w:tcPr>
            <w:tcW w:w="3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CONSOLIDATED STATEMENTS OF CASH FLOWS FOR THE YEARS ENDED DECEMBER 31, 2018, 2019 AND 2020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3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8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6"/>
        </w:trPr>
        <w:tc>
          <w:tcPr>
            <w:tcW w:w="7820" w:type="dxa"/>
            <w:vAlign w:val="bottom"/>
          </w:tcPr>
          <w:p>
            <w:pPr>
              <w:spacing w:after="0"/>
              <w:rPr>
                <w:sz w:val="13"/>
                <w:szCs w:val="13"/>
                <w:color w:val="auto"/>
              </w:rPr>
            </w:pPr>
          </w:p>
        </w:tc>
        <w:tc>
          <w:tcPr>
            <w:tcW w:w="84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86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86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(207,941)</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(704,888)</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(470,618)</w:t>
            </w: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38,121</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234,672</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360,781</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on the disposal of property and equipment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2,654</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Provision for allowance for doubtful accounts</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669</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7,559</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12,700</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of loss in equity method investments</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499</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2,199</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7,526</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Impairment loss of investments measured at measurement alternatives</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5,450</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4,714</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Impairment loss of property and equipment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6,449</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Fair value change in warrant liabilities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(23,781)</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on the disposal of business</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9,259</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Foreign exchange (gains) losses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(29,285)</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(9,765)</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34,740</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Inventories, net</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(27,116)</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9,924</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(111,437)</w:t>
            </w: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Prepayments and other receivables</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(65,813)</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(56,078)</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(123,535)</w:t>
            </w: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Amount due from related parties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(15,320)</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(84,356)</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(69,963)</w:t>
            </w: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Funds receivable from third party payment service provider</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(46,338)</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32,198</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(45,842)</w:t>
            </w:r>
          </w:p>
        </w:tc>
      </w:tr>
      <w:tr>
        <w:trPr>
          <w:trHeight w:val="202"/>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Other non-current assets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(13,200)</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(2,440)</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1,119</w:t>
            </w: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 payables</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16,995</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(6,974)</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(8,538)</w:t>
            </w: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(40,285)</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64,119</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63,345</w:t>
            </w: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Accrued payroll and welfare</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40,596</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58,916</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w:t>
            </w:r>
          </w:p>
        </w:tc>
      </w:tr>
      <w:tr>
        <w:trPr>
          <w:trHeight w:val="203"/>
        </w:trPr>
        <w:tc>
          <w:tcPr>
            <w:tcW w:w="7820" w:type="dxa"/>
            <w:vAlign w:val="bottom"/>
          </w:tcPr>
          <w:p>
            <w:pPr>
              <w:ind w:left="720"/>
              <w:spacing w:after="0" w:line="202" w:lineRule="exact"/>
              <w:rPr>
                <w:sz w:val="20"/>
                <w:szCs w:val="20"/>
                <w:color w:val="auto"/>
              </w:rPr>
            </w:pPr>
            <w:r>
              <w:rPr>
                <w:rFonts w:ascii="Arial" w:cs="Arial" w:eastAsia="Arial" w:hAnsi="Arial"/>
                <w:sz w:val="18"/>
                <w:szCs w:val="18"/>
                <w:color w:val="auto"/>
              </w:rPr>
              <w:t>Amount due to related parties</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10,649</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60,066</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(27,972)</w:t>
            </w:r>
          </w:p>
        </w:tc>
      </w:tr>
      <w:tr>
        <w:trPr>
          <w:trHeight w:val="203"/>
        </w:trPr>
        <w:tc>
          <w:tcPr>
            <w:tcW w:w="78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tax liabilities</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(1,922)</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(30,120)</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(47,320)</w:t>
            </w:r>
          </w:p>
        </w:tc>
      </w:tr>
      <w:tr>
        <w:trPr>
          <w:trHeight w:val="216"/>
        </w:trPr>
        <w:tc>
          <w:tcPr>
            <w:tcW w:w="782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(358,022)</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(410,794)</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(412,868)</w:t>
            </w:r>
          </w:p>
        </w:tc>
        <w:tc>
          <w:tcPr>
            <w:tcW w:w="160" w:type="dxa"/>
            <w:vAlign w:val="bottom"/>
          </w:tcPr>
          <w:p>
            <w:pPr>
              <w:spacing w:after="0"/>
              <w:rPr>
                <w:sz w:val="18"/>
                <w:szCs w:val="18"/>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Purchase of property and equipment</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(64,285)</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(103,314)</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(37,839)</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disposal of property and equipment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1,658</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8,584</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12,733</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Purchases of short-term investments</w:t>
            </w: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(120,895)</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(99,776)</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short-term investments</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19,018</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125,573</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Payment for business acquisition, net of cash acquired</w:t>
            </w: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(5,877)</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(5,811)</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 for investments in equity investees</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(46,384)</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(22,292)</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Repayment for loan to related parties</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26,069</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103,379</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178,666</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Loan to related parties</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(39,466)</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(164,000)</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(140,732)</w:t>
            </w:r>
          </w:p>
        </w:tc>
      </w:tr>
      <w:tr>
        <w:trPr>
          <w:trHeight w:val="217"/>
        </w:trPr>
        <w:tc>
          <w:tcPr>
            <w:tcW w:w="7820" w:type="dxa"/>
            <w:vAlign w:val="bottom"/>
          </w:tcPr>
          <w:p>
            <w:pPr>
              <w:spacing w:after="0"/>
              <w:rPr>
                <w:sz w:val="20"/>
                <w:szCs w:val="20"/>
                <w:color w:val="auto"/>
              </w:rPr>
            </w:pPr>
            <w:r>
              <w:rPr>
                <w:rFonts w:ascii="Arial" w:cs="Arial" w:eastAsia="Arial" w:hAnsi="Arial"/>
                <w:sz w:val="18"/>
                <w:szCs w:val="18"/>
                <w:b w:val="1"/>
                <w:bCs w:val="1"/>
                <w:color w:val="auto"/>
              </w:rPr>
              <w:t>Cash used in investing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(109,267)</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(304,349)</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18,625</w:t>
            </w:r>
          </w:p>
        </w:tc>
        <w:tc>
          <w:tcPr>
            <w:tcW w:w="160" w:type="dxa"/>
            <w:vAlign w:val="bottom"/>
          </w:tcPr>
          <w:p>
            <w:pPr>
              <w:spacing w:after="0"/>
              <w:rPr>
                <w:sz w:val="18"/>
                <w:szCs w:val="18"/>
                <w:color w:val="auto"/>
              </w:rPr>
            </w:pPr>
          </w:p>
        </w:tc>
      </w:tr>
      <w:tr>
        <w:trPr>
          <w:trHeight w:val="203"/>
        </w:trPr>
        <w:tc>
          <w:tcPr>
            <w:tcW w:w="78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Proceeds from short-term borrowings</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239,983</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376,383</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764,143</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for short-term borrowings</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(172,413)</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(348,383)</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(595,094)</w:t>
            </w:r>
          </w:p>
        </w:tc>
      </w:tr>
      <w:tr>
        <w:trPr>
          <w:trHeight w:val="203"/>
        </w:trPr>
        <w:tc>
          <w:tcPr>
            <w:tcW w:w="7820" w:type="dxa"/>
            <w:vAlign w:val="bottom"/>
          </w:tcPr>
          <w:p>
            <w:pPr>
              <w:ind w:left="360"/>
              <w:spacing w:after="0" w:line="202" w:lineRule="exact"/>
              <w:rPr>
                <w:sz w:val="20"/>
                <w:szCs w:val="20"/>
                <w:color w:val="auto"/>
              </w:rPr>
            </w:pPr>
            <w:r>
              <w:rPr>
                <w:rFonts w:ascii="Arial" w:cs="Arial" w:eastAsia="Arial" w:hAnsi="Arial"/>
                <w:sz w:val="18"/>
                <w:szCs w:val="18"/>
                <w:color w:val="auto"/>
              </w:rPr>
              <w:t>Loan from related party</w:t>
            </w:r>
          </w:p>
        </w:tc>
        <w:tc>
          <w:tcPr>
            <w:tcW w:w="10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250</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of related party loan</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w:t>
            </w:r>
          </w:p>
        </w:tc>
      </w:tr>
      <w:tr>
        <w:trPr>
          <w:trHeight w:val="217"/>
        </w:trPr>
        <w:tc>
          <w:tcPr>
            <w:tcW w:w="7820" w:type="dxa"/>
            <w:vAlign w:val="bottom"/>
          </w:tcPr>
          <w:p>
            <w:pPr>
              <w:ind w:left="360"/>
              <w:spacing w:after="0"/>
              <w:rPr>
                <w:sz w:val="20"/>
                <w:szCs w:val="20"/>
                <w:color w:val="auto"/>
              </w:rPr>
            </w:pPr>
            <w:r>
              <w:rPr>
                <w:rFonts w:ascii="Arial" w:cs="Arial" w:eastAsia="Arial" w:hAnsi="Arial"/>
                <w:sz w:val="18"/>
                <w:szCs w:val="18"/>
                <w:color w:val="auto"/>
              </w:rPr>
              <w:t>Proceeds from long-term borrowings</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65,200</w:t>
            </w:r>
          </w:p>
        </w:tc>
      </w:tr>
      <w:tr>
        <w:trPr>
          <w:trHeight w:val="350"/>
        </w:trPr>
        <w:tc>
          <w:tcPr>
            <w:tcW w:w="7820" w:type="dxa"/>
            <w:vAlign w:val="bottom"/>
          </w:tcPr>
          <w:p>
            <w:pPr>
              <w:ind w:left="5360"/>
              <w:spacing w:after="0"/>
              <w:rPr>
                <w:sz w:val="20"/>
                <w:szCs w:val="20"/>
                <w:color w:val="auto"/>
              </w:rPr>
            </w:pPr>
            <w:r>
              <w:rPr>
                <w:rFonts w:ascii="Arial" w:cs="Arial" w:eastAsia="Arial" w:hAnsi="Arial"/>
                <w:sz w:val="18"/>
                <w:szCs w:val="18"/>
                <w:color w:val="auto"/>
              </w:rPr>
              <w:t>F-7</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CONSOLIDATED STATEMENTS OF CASH FLOWS—(Continued)</w:t>
      </w:r>
    </w:p>
    <w:p>
      <w:pPr>
        <w:ind w:left="2940"/>
        <w:spacing w:after="0" w:line="234" w:lineRule="auto"/>
        <w:rPr>
          <w:sz w:val="20"/>
          <w:szCs w:val="20"/>
          <w:color w:val="auto"/>
        </w:rPr>
      </w:pPr>
      <w:r>
        <w:rPr>
          <w:rFonts w:ascii="Arial" w:cs="Arial" w:eastAsia="Arial" w:hAnsi="Arial"/>
          <w:sz w:val="18"/>
          <w:szCs w:val="18"/>
          <w:b w:val="1"/>
          <w:bCs w:val="1"/>
          <w:color w:val="auto"/>
        </w:rPr>
        <w:t>FOR THE YEARS ENDED DECEMBER 31, 2018, 2019 AND 2020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3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77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00" w:type="dxa"/>
            <w:vAlign w:val="bottom"/>
          </w:tcPr>
          <w:p>
            <w:pPr>
              <w:spacing w:after="0"/>
              <w:rPr>
                <w:sz w:val="13"/>
                <w:szCs w:val="13"/>
                <w:color w:val="auto"/>
              </w:rPr>
            </w:pPr>
          </w:p>
        </w:tc>
        <w:tc>
          <w:tcPr>
            <w:tcW w:w="78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94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9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for convertibles bonds</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(40,000)</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Repayment of convertible bonds to a related party</w:t>
            </w: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(98,688)</w:t>
            </w:r>
          </w:p>
        </w:tc>
        <w:tc>
          <w:tcPr>
            <w:tcW w:w="11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subscription for convertible redeemable preferred shares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Prepaid subscription for convertible redeemable preferred shares from a related party</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Proceeds from issuance of convertible redeemable preferred shares</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979,539</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469,636</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512,715</w:t>
            </w:r>
          </w:p>
        </w:tc>
        <w:tc>
          <w:tcPr>
            <w:tcW w:w="0" w:type="dxa"/>
            <w:vAlign w:val="bottom"/>
          </w:tcPr>
          <w:p>
            <w:pPr>
              <w:spacing w:after="0"/>
              <w:rPr>
                <w:sz w:val="1"/>
                <w:szCs w:val="1"/>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Payment for convertible redeemable preferred shares issuance costs</w:t>
            </w: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(22,572)</w:t>
            </w:r>
          </w:p>
        </w:tc>
        <w:tc>
          <w:tcPr>
            <w:tcW w:w="11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(1,858)</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Repurchase of ordinary shares</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(22,077)</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700" w:type="dxa"/>
            <w:vAlign w:val="bottom"/>
          </w:tcPr>
          <w:p>
            <w:pPr>
              <w:spacing w:after="0"/>
              <w:rPr>
                <w:sz w:val="20"/>
                <w:szCs w:val="20"/>
                <w:color w:val="auto"/>
              </w:rPr>
            </w:pPr>
            <w:r>
              <w:rPr>
                <w:rFonts w:ascii="Arial" w:cs="Arial" w:eastAsia="Arial" w:hAnsi="Arial"/>
                <w:sz w:val="18"/>
                <w:szCs w:val="18"/>
                <w:b w:val="1"/>
                <w:bCs w:val="1"/>
                <w:color w:val="auto"/>
              </w:rPr>
              <w:t>Cash provided by financing activities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904,022</w:t>
            </w:r>
          </w:p>
        </w:tc>
        <w:tc>
          <w:tcPr>
            <w:tcW w:w="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455,751</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929,962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foreign exchange rate changes on cash and cash equivalents</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33,179</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4,515</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(28,426)</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469,912</w:t>
            </w:r>
          </w:p>
        </w:tc>
        <w:tc>
          <w:tcPr>
            <w:tcW w:w="2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(254,877)</w:t>
            </w: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507,293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cash equivalent and restricted cash at the beginning of the year</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196,048</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665,960</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411,083</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Cash, cash equivalent and restricted cash at the end of the year</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665,960</w:t>
            </w:r>
          </w:p>
        </w:tc>
        <w:tc>
          <w:tcPr>
            <w:tcW w:w="2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411,083</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918,376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Reconciliation in amounts on the consolidated balance sheets: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665,560</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410,783</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918,076</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 included in the prepayments and other receivables, net</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400</w:t>
            </w:r>
          </w:p>
        </w:tc>
        <w:tc>
          <w:tcPr>
            <w:tcW w:w="11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300</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665,960</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411,083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918,376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cash flow disclosures of continuing operations: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Pr>
          <w:p>
            <w:pPr>
              <w:spacing w:after="0" w:line="202" w:lineRule="exact"/>
              <w:rPr>
                <w:sz w:val="20"/>
                <w:szCs w:val="20"/>
                <w:color w:val="auto"/>
              </w:rPr>
            </w:pPr>
            <w:r>
              <w:rPr>
                <w:rFonts w:ascii="Arial" w:cs="Arial" w:eastAsia="Arial" w:hAnsi="Arial"/>
                <w:sz w:val="18"/>
                <w:szCs w:val="18"/>
                <w:color w:val="auto"/>
              </w:rPr>
              <w:t>Interest expenses paid</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6,536</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12,397</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21,090</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878,319</w:t>
            </w: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877,999</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1,304,498</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of warrant for issuance of convertible redeemable preferred shares</w:t>
            </w: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19,654</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00" w:type="dxa"/>
            <w:vAlign w:val="bottom"/>
          </w:tcPr>
          <w:p>
            <w:pPr>
              <w:spacing w:after="0" w:line="201" w:lineRule="exact"/>
              <w:rPr>
                <w:sz w:val="20"/>
                <w:szCs w:val="20"/>
                <w:color w:val="auto"/>
              </w:rPr>
            </w:pPr>
            <w:r>
              <w:rPr>
                <w:rFonts w:ascii="Arial" w:cs="Arial" w:eastAsia="Arial" w:hAnsi="Arial"/>
                <w:sz w:val="18"/>
                <w:szCs w:val="18"/>
                <w:color w:val="auto"/>
              </w:rPr>
              <w:t>Issuance of convertible redeemable preferred shares in connection with Paipai acquisition from</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80"/>
              <w:spacing w:after="0" w:line="203" w:lineRule="exact"/>
              <w:rPr>
                <w:sz w:val="20"/>
                <w:szCs w:val="20"/>
                <w:color w:val="auto"/>
              </w:rPr>
            </w:pPr>
            <w:r>
              <w:rPr>
                <w:rFonts w:ascii="Arial" w:cs="Arial" w:eastAsia="Arial" w:hAnsi="Arial"/>
                <w:sz w:val="18"/>
                <w:szCs w:val="18"/>
                <w:color w:val="auto"/>
              </w:rPr>
              <w:t>JD Group (Note 3)</w:t>
            </w:r>
          </w:p>
        </w:tc>
        <w:tc>
          <w:tcPr>
            <w:tcW w:w="102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3,242,245</w:t>
            </w:r>
          </w:p>
        </w:tc>
        <w:tc>
          <w:tcPr>
            <w:tcW w:w="112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Payable for preferred shares issuance costs</w:t>
            </w:r>
          </w:p>
        </w:tc>
        <w:tc>
          <w:tcPr>
            <w:tcW w:w="10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(15,618)</w:t>
            </w:r>
          </w:p>
        </w:tc>
        <w:tc>
          <w:tcPr>
            <w:tcW w:w="0" w:type="dxa"/>
            <w:vAlign w:val="bottom"/>
          </w:tcPr>
          <w:p>
            <w:pPr>
              <w:spacing w:after="0"/>
              <w:rPr>
                <w:sz w:val="1"/>
                <w:szCs w:val="1"/>
                <w:color w:val="auto"/>
              </w:rPr>
            </w:pP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Receivable from disposal of property and equipment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15,562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FOR THE YEARS ENDED DECEMBER 31, 2018, 2019 AND 2020</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7400" w:hanging="4"/>
        <w:spacing w:after="0" w:line="372" w:lineRule="auto"/>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principal activities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AiHuiShou International Co. Ltd. (the “Company”) was incorporated under the laws of the Cayman Islands on November 22, 2011. The Company through its wholly-owned subsidiaries, variable interest entity (“VIE”) and VIE’s subsidiaries (collectively, the “Group”) primarily sell pre-owned consumer electronics through its online platforms and offline stores, and provide services to third-party merchants to sell the products through its platforms. The Group’s principal operations and geographic markets are in the People’s Republic of China (“PRC”).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Company’s major subsidiaries, VIE and VIE’s subsidiaries are as follows: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36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Date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Place of</w:t>
            </w:r>
          </w:p>
        </w:tc>
        <w:tc>
          <w:tcPr>
            <w:tcW w:w="3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Percentage of</w:t>
            </w:r>
          </w:p>
        </w:tc>
      </w:tr>
      <w:tr>
        <w:trPr>
          <w:trHeight w:val="162"/>
        </w:trPr>
        <w:tc>
          <w:tcPr>
            <w:tcW w:w="14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3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incorporation/</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incorporation/</w:t>
            </w:r>
          </w:p>
        </w:tc>
        <w:tc>
          <w:tcPr>
            <w:tcW w:w="3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direct/indirect</w:t>
            </w:r>
          </w:p>
        </w:tc>
      </w:tr>
      <w:tr>
        <w:trPr>
          <w:trHeight w:val="189"/>
        </w:trPr>
        <w:tc>
          <w:tcPr>
            <w:tcW w:w="14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23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establishment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establishment</w:t>
            </w:r>
          </w:p>
        </w:tc>
        <w:tc>
          <w:tcPr>
            <w:tcW w:w="320" w:type="dxa"/>
            <w:vAlign w:val="bottom"/>
          </w:tcPr>
          <w:p>
            <w:pPr>
              <w:spacing w:after="0"/>
              <w:rPr>
                <w:sz w:val="16"/>
                <w:szCs w:val="16"/>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ownership</w:t>
            </w:r>
          </w:p>
        </w:tc>
      </w:tr>
      <w:tr>
        <w:trPr>
          <w:trHeight w:val="196"/>
        </w:trPr>
        <w:tc>
          <w:tcPr>
            <w:tcW w:w="1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Subsidiaries</w:t>
            </w:r>
          </w:p>
        </w:tc>
        <w:tc>
          <w:tcPr>
            <w:tcW w:w="4340" w:type="dxa"/>
            <w:vAlign w:val="bottom"/>
            <w:tcBorders>
              <w:top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AiHuiShou International Company Limited</w:t>
            </w:r>
          </w:p>
        </w:tc>
        <w:tc>
          <w:tcPr>
            <w:tcW w:w="2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January 13, 2012</w:t>
            </w:r>
          </w:p>
        </w:tc>
        <w:tc>
          <w:tcPr>
            <w:tcW w:w="3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rPr>
              <w:t>Hong Kong</w:t>
            </w:r>
          </w:p>
        </w:tc>
        <w:tc>
          <w:tcPr>
            <w:tcW w:w="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100%</w:t>
            </w:r>
          </w:p>
        </w:tc>
      </w:tr>
      <w:tr>
        <w:trPr>
          <w:trHeight w:val="202"/>
        </w:trPr>
        <w:tc>
          <w:tcPr>
            <w:tcW w:w="1440" w:type="dxa"/>
            <w:vAlign w:val="bottom"/>
          </w:tcPr>
          <w:p>
            <w:pPr>
              <w:spacing w:after="0"/>
              <w:rPr>
                <w:sz w:val="17"/>
                <w:szCs w:val="17"/>
                <w:color w:val="auto"/>
              </w:rPr>
            </w:pPr>
          </w:p>
        </w:tc>
        <w:tc>
          <w:tcPr>
            <w:tcW w:w="4340" w:type="dxa"/>
            <w:vAlign w:val="bottom"/>
          </w:tcPr>
          <w:p>
            <w:pPr>
              <w:ind w:left="340"/>
              <w:spacing w:after="0" w:line="201" w:lineRule="exact"/>
              <w:rPr>
                <w:sz w:val="20"/>
                <w:szCs w:val="20"/>
                <w:color w:val="auto"/>
              </w:rPr>
            </w:pPr>
            <w:r>
              <w:rPr>
                <w:rFonts w:ascii="Arial" w:cs="Arial" w:eastAsia="Arial" w:hAnsi="Arial"/>
                <w:sz w:val="18"/>
                <w:szCs w:val="18"/>
                <w:color w:val="auto"/>
              </w:rPr>
              <w:t>Shanghai Aihui Trading Co., Ltd (“Shanghai</w:t>
            </w: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4340" w:type="dxa"/>
            <w:vAlign w:val="bottom"/>
          </w:tcPr>
          <w:p>
            <w:pPr>
              <w:ind w:left="340"/>
              <w:spacing w:after="0" w:line="203" w:lineRule="exact"/>
              <w:rPr>
                <w:sz w:val="20"/>
                <w:szCs w:val="20"/>
                <w:color w:val="auto"/>
              </w:rPr>
            </w:pPr>
            <w:r>
              <w:rPr>
                <w:rFonts w:ascii="Arial" w:cs="Arial" w:eastAsia="Arial" w:hAnsi="Arial"/>
                <w:sz w:val="18"/>
                <w:szCs w:val="18"/>
                <w:color w:val="auto"/>
              </w:rPr>
              <w:t>Aihui”)</w:t>
            </w:r>
          </w:p>
        </w:tc>
        <w:tc>
          <w:tcPr>
            <w:tcW w:w="23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August 16, 2012</w:t>
            </w:r>
          </w:p>
        </w:tc>
        <w:tc>
          <w:tcPr>
            <w:tcW w:w="1600" w:type="dxa"/>
            <w:vAlign w:val="bottom"/>
          </w:tcPr>
          <w:p>
            <w:pPr>
              <w:jc w:val="center"/>
              <w:spacing w:after="0" w:line="203" w:lineRule="exact"/>
              <w:rPr>
                <w:sz w:val="20"/>
                <w:szCs w:val="20"/>
                <w:color w:val="auto"/>
              </w:rPr>
            </w:pPr>
            <w:r>
              <w:rPr>
                <w:rFonts w:ascii="Arial" w:cs="Arial" w:eastAsia="Arial" w:hAnsi="Arial"/>
                <w:sz w:val="18"/>
                <w:szCs w:val="18"/>
                <w:color w:val="auto"/>
                <w:w w:val="99"/>
              </w:rPr>
              <w:t>Mainland China</w:t>
            </w:r>
          </w:p>
        </w:tc>
        <w:tc>
          <w:tcPr>
            <w:tcW w:w="12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100%</w:t>
            </w:r>
          </w:p>
        </w:tc>
      </w:tr>
      <w:tr>
        <w:trPr>
          <w:trHeight w:val="203"/>
        </w:trPr>
        <w:tc>
          <w:tcPr>
            <w:tcW w:w="1440" w:type="dxa"/>
            <w:vAlign w:val="bottom"/>
            <w:shd w:val="clear" w:color="auto" w:fill="CCEEFF"/>
          </w:tcPr>
          <w:p>
            <w:pPr>
              <w:spacing w:after="0"/>
              <w:rPr>
                <w:sz w:val="17"/>
                <w:szCs w:val="17"/>
                <w:color w:val="auto"/>
              </w:rPr>
            </w:pPr>
          </w:p>
        </w:tc>
        <w:tc>
          <w:tcPr>
            <w:tcW w:w="43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AHS Device Hong Kong Limited</w:t>
            </w:r>
          </w:p>
        </w:tc>
        <w:tc>
          <w:tcPr>
            <w:tcW w:w="23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March 8, 2017</w:t>
            </w:r>
          </w:p>
        </w:tc>
        <w:tc>
          <w:tcPr>
            <w:tcW w:w="16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Hong Kong</w:t>
            </w:r>
          </w:p>
        </w:tc>
        <w:tc>
          <w:tcPr>
            <w:tcW w:w="12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100%</w:t>
            </w: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VIE and VIE’s</w:t>
            </w:r>
          </w:p>
        </w:tc>
        <w:tc>
          <w:tcPr>
            <w:tcW w:w="4340" w:type="dxa"/>
            <w:vAlign w:val="bottom"/>
          </w:tcPr>
          <w:p>
            <w:pPr>
              <w:ind w:left="340"/>
              <w:spacing w:after="0" w:line="201" w:lineRule="exact"/>
              <w:rPr>
                <w:sz w:val="20"/>
                <w:szCs w:val="20"/>
                <w:color w:val="auto"/>
              </w:rPr>
            </w:pPr>
            <w:r>
              <w:rPr>
                <w:rFonts w:ascii="Arial" w:cs="Arial" w:eastAsia="Arial" w:hAnsi="Arial"/>
                <w:sz w:val="18"/>
                <w:szCs w:val="18"/>
                <w:color w:val="auto"/>
              </w:rPr>
              <w:t>Shanghai Yueyee Network Information</w:t>
            </w: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Arial" w:cs="Arial" w:eastAsia="Arial" w:hAnsi="Arial"/>
                <w:sz w:val="18"/>
                <w:szCs w:val="18"/>
                <w:color w:val="auto"/>
              </w:rPr>
              <w:t>subsidiaries</w:t>
            </w:r>
          </w:p>
        </w:tc>
        <w:tc>
          <w:tcPr>
            <w:tcW w:w="4340" w:type="dxa"/>
            <w:vAlign w:val="bottom"/>
          </w:tcPr>
          <w:p>
            <w:pPr>
              <w:ind w:left="340"/>
              <w:spacing w:after="0" w:line="203" w:lineRule="exact"/>
              <w:rPr>
                <w:sz w:val="20"/>
                <w:szCs w:val="20"/>
                <w:color w:val="auto"/>
              </w:rPr>
            </w:pPr>
            <w:r>
              <w:rPr>
                <w:rFonts w:ascii="Arial" w:cs="Arial" w:eastAsia="Arial" w:hAnsi="Arial"/>
                <w:sz w:val="18"/>
                <w:szCs w:val="18"/>
                <w:color w:val="auto"/>
              </w:rPr>
              <w:t>Technology Co., Ltd (“Shanghai Yueyee”)</w:t>
            </w:r>
          </w:p>
        </w:tc>
        <w:tc>
          <w:tcPr>
            <w:tcW w:w="236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May 21, 2010</w:t>
            </w:r>
          </w:p>
        </w:tc>
        <w:tc>
          <w:tcPr>
            <w:tcW w:w="1600" w:type="dxa"/>
            <w:vAlign w:val="bottom"/>
          </w:tcPr>
          <w:p>
            <w:pPr>
              <w:jc w:val="center"/>
              <w:spacing w:after="0" w:line="203" w:lineRule="exact"/>
              <w:rPr>
                <w:sz w:val="20"/>
                <w:szCs w:val="20"/>
                <w:color w:val="auto"/>
              </w:rPr>
            </w:pPr>
            <w:r>
              <w:rPr>
                <w:rFonts w:ascii="Arial" w:cs="Arial" w:eastAsia="Arial" w:hAnsi="Arial"/>
                <w:sz w:val="18"/>
                <w:szCs w:val="18"/>
                <w:color w:val="auto"/>
                <w:w w:val="99"/>
              </w:rPr>
              <w:t>Mainland China</w:t>
            </w:r>
          </w:p>
        </w:tc>
        <w:tc>
          <w:tcPr>
            <w:tcW w:w="128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VIE</w:t>
            </w:r>
          </w:p>
        </w:tc>
      </w:tr>
      <w:tr>
        <w:trPr>
          <w:trHeight w:val="202"/>
        </w:trPr>
        <w:tc>
          <w:tcPr>
            <w:tcW w:w="1440" w:type="dxa"/>
            <w:vAlign w:val="bottom"/>
            <w:shd w:val="clear" w:color="auto" w:fill="CCEEFF"/>
          </w:tcPr>
          <w:p>
            <w:pPr>
              <w:spacing w:after="0"/>
              <w:rPr>
                <w:sz w:val="17"/>
                <w:szCs w:val="17"/>
                <w:color w:val="auto"/>
              </w:rPr>
            </w:pPr>
          </w:p>
        </w:tc>
        <w:tc>
          <w:tcPr>
            <w:tcW w:w="4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Shanghai Yueyi Network Information</w:t>
            </w:r>
          </w:p>
        </w:tc>
        <w:tc>
          <w:tcPr>
            <w:tcW w:w="2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1440" w:type="dxa"/>
            <w:vAlign w:val="bottom"/>
            <w:shd w:val="clear" w:color="auto" w:fill="CCEEFF"/>
          </w:tcPr>
          <w:p>
            <w:pPr>
              <w:spacing w:after="0"/>
              <w:rPr>
                <w:sz w:val="17"/>
                <w:szCs w:val="17"/>
                <w:color w:val="auto"/>
              </w:rPr>
            </w:pPr>
          </w:p>
        </w:tc>
        <w:tc>
          <w:tcPr>
            <w:tcW w:w="43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Technology Co., Ltd (“Shanghai Yueyi”)</w:t>
            </w:r>
          </w:p>
        </w:tc>
        <w:tc>
          <w:tcPr>
            <w:tcW w:w="236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September 6, 2015</w:t>
            </w:r>
          </w:p>
        </w:tc>
        <w:tc>
          <w:tcPr>
            <w:tcW w:w="1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Mainland China</w:t>
            </w:r>
          </w:p>
        </w:tc>
        <w:tc>
          <w:tcPr>
            <w:tcW w:w="1280" w:type="dxa"/>
            <w:vAlign w:val="bottom"/>
            <w:gridSpan w:val="2"/>
            <w:shd w:val="clear" w:color="auto" w:fill="CCEEFF"/>
          </w:tcPr>
          <w:p>
            <w:pPr>
              <w:ind w:left="320"/>
              <w:spacing w:after="0" w:line="203" w:lineRule="exact"/>
              <w:rPr>
                <w:sz w:val="20"/>
                <w:szCs w:val="20"/>
                <w:color w:val="auto"/>
              </w:rPr>
            </w:pPr>
            <w:r>
              <w:rPr>
                <w:rFonts w:ascii="Arial" w:cs="Arial" w:eastAsia="Arial" w:hAnsi="Arial"/>
                <w:sz w:val="18"/>
                <w:szCs w:val="18"/>
                <w:color w:val="auto"/>
              </w:rPr>
              <w:t>100%</w:t>
            </w:r>
          </w:p>
        </w:tc>
      </w:tr>
      <w:tr>
        <w:trPr>
          <w:trHeight w:val="202"/>
        </w:trPr>
        <w:tc>
          <w:tcPr>
            <w:tcW w:w="1440" w:type="dxa"/>
            <w:vAlign w:val="bottom"/>
          </w:tcPr>
          <w:p>
            <w:pPr>
              <w:spacing w:after="0"/>
              <w:rPr>
                <w:sz w:val="17"/>
                <w:szCs w:val="17"/>
                <w:color w:val="auto"/>
              </w:rPr>
            </w:pPr>
          </w:p>
        </w:tc>
        <w:tc>
          <w:tcPr>
            <w:tcW w:w="4340" w:type="dxa"/>
            <w:vAlign w:val="bottom"/>
          </w:tcPr>
          <w:p>
            <w:pPr>
              <w:ind w:left="340"/>
              <w:spacing w:after="0" w:line="201" w:lineRule="exact"/>
              <w:rPr>
                <w:sz w:val="20"/>
                <w:szCs w:val="20"/>
                <w:color w:val="auto"/>
              </w:rPr>
            </w:pPr>
            <w:r>
              <w:rPr>
                <w:rFonts w:ascii="Arial" w:cs="Arial" w:eastAsia="Arial" w:hAnsi="Arial"/>
                <w:sz w:val="18"/>
                <w:szCs w:val="18"/>
                <w:color w:val="auto"/>
              </w:rPr>
              <w:t>Changzhou Yueyi Network Information</w:t>
            </w:r>
          </w:p>
        </w:tc>
        <w:tc>
          <w:tcPr>
            <w:tcW w:w="2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144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Technology Co., Ltd (“Changzhou Yueyi”)</w:t>
            </w:r>
          </w:p>
        </w:tc>
        <w:tc>
          <w:tcPr>
            <w:tcW w:w="2360" w:type="dxa"/>
            <w:vAlign w:val="bottom"/>
            <w:gridSpan w:val="2"/>
          </w:tcPr>
          <w:p>
            <w:pPr>
              <w:jc w:val="right"/>
              <w:ind w:right="320"/>
              <w:spacing w:after="0"/>
              <w:rPr>
                <w:sz w:val="20"/>
                <w:szCs w:val="20"/>
                <w:color w:val="auto"/>
              </w:rPr>
            </w:pPr>
            <w:r>
              <w:rPr>
                <w:rFonts w:ascii="Arial" w:cs="Arial" w:eastAsia="Arial" w:hAnsi="Arial"/>
                <w:sz w:val="18"/>
                <w:szCs w:val="18"/>
                <w:color w:val="auto"/>
              </w:rPr>
              <w:t>June 23, 2017</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Mainland China</w:t>
            </w: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100%</w:t>
            </w:r>
          </w:p>
        </w:tc>
      </w:tr>
    </w:tbl>
    <w:p>
      <w:pPr>
        <w:spacing w:after="0" w:line="207" w:lineRule="exact"/>
        <w:rPr>
          <w:sz w:val="20"/>
          <w:szCs w:val="20"/>
          <w:color w:val="auto"/>
        </w:rPr>
      </w:pPr>
    </w:p>
    <w:p>
      <w:pPr>
        <w:ind w:left="120" w:right="6760" w:hanging="4"/>
        <w:spacing w:after="0" w:line="372" w:lineRule="auto"/>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2.1 Basis of Presentation</w:t>
      </w:r>
    </w:p>
    <w:p>
      <w:pPr>
        <w:spacing w:after="0" w:line="1"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for the years presented.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 Basis of Consolidation</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VIE and VIE’s subsidiaries in which the Company is the primary beneficiary. U.S. GAAP provides guidance on the identification of VIE and financial reporting for entities over which control is achieved through means other than voting interests. The Group evaluates each of its interests in an entity to determine whether or not the investee is a VIE and, if so, whether the Group is the primary beneficiary of such VIE. In determining whether the Group is the primary beneficiary, the Group considers if the Group (1) has power to direct the activities that most significantly affect the economic performance of the VIE, and (2) receives the economic benefits of the VIE that could be significant to</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00" w:right="216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00" w:hanging="4"/>
        <w:spacing w:after="0" w:line="380" w:lineRule="auto"/>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spacing w:after="0" w:line="1"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the VIE. If deemed the primary beneficiary, the Group consolidates the VIE. All intercompany balances and transactions and unrealized profit and losses have been eliminated in consolidation.</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VIE Arrangements</w:t>
      </w:r>
    </w:p>
    <w:p>
      <w:pPr>
        <w:spacing w:after="0" w:line="126"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In order to comply with the PRC laws and regulations which prohibit or restrict foreign control of companies involved in provision of internet content and other restricted businesses, the Group operates its websites and other restricted businesses in the PRC through Shanghai Yueyee and its wholly-owned subsidiaries since 2011. On August 31, 2012, the Company, through its wholly-owned foreign invested subsidiary, Shanghai Aihui, entered into contractual arrangements (“VIE agreements”) with Shanghai Yueyee and its shareholders. The following is a summary, as amended, of the agreements of which the Company is the primary beneficiary.</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Voting Rights Proxy Agreement</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Pursuant to the voting rights proxy agreements signed between each of the shareholders of the VIE and Shanghai Aihui, each shareholder irrevocably appointed Shanghai Aihui as its attorney-in-fact to exercise on each shareholder’s behalf and all rights that each shareholder has in respect of its equity interest in the VIE (including but not limited to executing the exclusive right to the voting rights, the right to appoint directors and executive officers of the VIE, and the right to determine dividend distribution). The powers of attorney will remain effective until the termination of VIE or otherwise instructed by Shanghai Aihui.</w:t>
      </w: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Exclusive Technology Consulting and Management Service Agreement and Business Operation Agreement</w:t>
      </w:r>
    </w:p>
    <w:p>
      <w:pPr>
        <w:spacing w:after="0" w:line="10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Pursuant to the exclusive business cooperation agreement between Shanghai Aihui and the VIE, Shanghai Aihui has the exclusive right to provide the VIE with complete business support and technical and consulting services, including but not limited to software development and maintenance, internet technical support, database and network security services, and other technical consultation and services. Without Shanghai Aihui’s prior written consent, the VIE may not accept any consultations and/or services regarding the matters contemplated by this agreement provided by any third party during the term of the agreement. The VIE agrees to pay Shanghai Aihui service fees at an amount equals to all pre-tax income of the VIE. Shanghai Aihui has the exclusive ownership of all the intellectual property rights created as a result of the performance of the exclusive business cooperation agreement. The exclusive business cooperation agreement has an initial term of 10 years and unless terminated by Shanghai Aihui in advance. Before the expiration of these agreements, upon request by Shanghai Aihui, these agreements shall be renewed or replaced by new agreements.</w:t>
      </w:r>
    </w:p>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Option Purchase Agreements</w:t>
      </w:r>
    </w:p>
    <w:p>
      <w:pPr>
        <w:spacing w:after="0" w:line="104"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Pursuant to the option purchase agreements, each of the shareholders of the VIE has irrevocably granted Shanghai Aihui, or any person designated by Shanghai Aihui, an exclusive option to purchase all or part of its equity interests in the VIE. Shanghai Aihui may exercise such options at a price equal</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9" w:right="5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60" w:lineRule="auto"/>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VIE Arrangements—(Continued)</w:t>
      </w:r>
    </w:p>
    <w:p>
      <w:pPr>
        <w:spacing w:after="0" w:line="139"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color w:val="auto"/>
        </w:rPr>
        <w:t>to the lowest price as permitted by applicable PRC laws at the time of transfer of equity. The VIE and the shareholders of the VIE covenant that, without Shanghai Aihui’s prior written consent, they will not, among other things, (i) supplement, change or amend the VIE’s articles of association and bylaws, (ii) increase or decrease the VIE’s registered capital or change its structure of registered capital, (iii) create any pledge or encumbrance on their equity interests in the VIE, other than those created under the equity interest pledge agreement, (iv) sell, transfer, mortgage, or dispose of their legal or beneficial interests in and any assets of the VIE and any legal or beneficial interests,</w:t>
      </w:r>
    </w:p>
    <w:p>
      <w:pPr>
        <w:spacing w:after="0" w:line="3" w:lineRule="exact"/>
        <w:rPr>
          <w:sz w:val="20"/>
          <w:szCs w:val="20"/>
          <w:color w:val="auto"/>
        </w:rPr>
      </w:pPr>
    </w:p>
    <w:p>
      <w:pPr>
        <w:ind w:left="120" w:right="380" w:hanging="4"/>
        <w:spacing w:after="0" w:line="246" w:lineRule="auto"/>
        <w:tabs>
          <w:tab w:leader="none" w:pos="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any material contract by the VIE, except in the ordinary course of business, or (vi) merge or consolidate the VIE with any other entity. The option will remain effective unless Shanghai Aihui has purchased all of the VIE’s equity.</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Powers of Attorney</w:t>
      </w:r>
    </w:p>
    <w:p>
      <w:pPr>
        <w:spacing w:after="0" w:line="104"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Pursuant to the power of attorney, each of the shareholders of the VIE irrevocably authorize Shanghai Aihui to act on his behalf as the only exclusive agent and attorney to exercise all rights as the shareholders of the VIE, including but not limited to, (i) making decisions as shareholders of the VIE, (ii) exercising all rights under relevant PRC laws and the articles of association of the VIE as the shareholders of the VIE, (iii) handling the sale, transfer, pledge or disposal of the shareholder’s equity interests in the VIE (in all or in part), including but not limited to signing all necessary equity transfer documents, other documents for disposing of the shareholder’s equity interests in the VIE and handling all necessary procedures on behalf of the shareholder, (iv) in the name and on behalf of the shareholder, signing any resolutions and meeting minutes as a shareholder of the VIE, (v) on behalf of the shareholder, nominating, electing, designating, appointing and removing the legal representative, directors, supervisors, general manager, chief financial officer and other senior management personnel of the VIE, (vi) approving the amendment of the articles of association of the VIE, and (vii) other matters agreed in the voting proxy agreement, if any. Without the written consent of Shanghai Aihui, the shareholders of the VIE have no right to increase or decrease, transfer, pledge re-pledge, or otherwise dispose of or change the shareholders’ equity interests in the VIE.</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Share Pledge Agreements</w:t>
      </w:r>
    </w:p>
    <w:p>
      <w:pPr>
        <w:spacing w:after="0" w:line="104"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Pursuant to the share pledge agreements, each of the shareholders of the VIE has pledged the security interest in their respective equity interests in the VIE, representing 100% equity interests in the VIE in aggregate to Shanghai Aihui, to guarantee performance by the shareholders of their obligations under the powers of attorney, the exclusive business cooperation agreement and the exclusive option agreement, as well as the performance by the VIE of its obligations under the exclusive business cooperation agreement and the exclusive option agreement. In the event of a breach by the VIE or any of its shareholders of contractual obligations under these contractual arrangements, Shanghai Aihui, as pledgee, will have the right to dispose of the pledged equity interests in the VIE and get compensated from the proceeds of such disposal. The shareholders of the VIE also covenant that, without the prior written consent of Shanghai Aihui, they shall not transfer or agree to other’s transfer of the pledged equity interests, create or allow any new pledge or any other encumbrance on the pledged equity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40" w:hanging="4"/>
        <w:spacing w:after="0" w:line="360" w:lineRule="auto"/>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VIE Arrangements—(Continued)</w:t>
      </w:r>
    </w:p>
    <w:p>
      <w:pPr>
        <w:spacing w:after="0" w:line="13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interests. The equity interest pledge agreement will remain effective until the exclusive technology consulting and management service agreement and the business operation agreement and the option purchase agreements are terminated or the VIE and the shareholder of the VIE discharge all their contractual obligations under these agreements. During the equity pledge period, Shanghai Aihui is entitled to all dividends and other distributions generated by the VIE.</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Spousal Consent Letters</w:t>
      </w:r>
    </w:p>
    <w:p>
      <w:pPr>
        <w:spacing w:after="0" w:line="104" w:lineRule="exact"/>
        <w:rPr>
          <w:sz w:val="20"/>
          <w:szCs w:val="20"/>
          <w:color w:val="auto"/>
        </w:rPr>
      </w:pPr>
    </w:p>
    <w:p>
      <w:pPr>
        <w:ind w:left="120" w:right="200" w:firstLine="551"/>
        <w:spacing w:after="0" w:line="237" w:lineRule="auto"/>
        <w:rPr>
          <w:sz w:val="20"/>
          <w:szCs w:val="20"/>
          <w:color w:val="auto"/>
        </w:rPr>
      </w:pPr>
      <w:r>
        <w:rPr>
          <w:rFonts w:ascii="Arial" w:cs="Arial" w:eastAsia="Arial" w:hAnsi="Arial"/>
          <w:sz w:val="18"/>
          <w:szCs w:val="18"/>
          <w:color w:val="auto"/>
        </w:rPr>
        <w:t>Pursuant to the Spousal Consent Letters, the signing spouses undertake they will not assert any rights over the equity interests VIEs held by the shareholder of the VIE, and that they will sign any necessary documents and take any necessary actions to ensure the proper performance and implementation of the voting proxy agreement, powers of attorney, share pledge agreements, and option purchase agreements, all of which may be amended or restated from time to time. In addition, in the event that any spouse obtains any equity interests in any VIE held by his or her spouse for any reason, he or she agreed to be bound by the contractual arrangements described above, as may be amended from time to time.</w:t>
      </w:r>
    </w:p>
    <w:p>
      <w:pPr>
        <w:spacing w:after="0" w:line="205"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irrevocable powers of attorney and voting proxy agreement described above have conveyed all shareholder rights held by the VIE’s shareholders to Shanghai Aihui, including the right to designate and appoint the VIE’s legal representative, director, supervisor, chief executive officer and other senior management members. The exclusive option agreements provide Shanghai Aihui with a substantive kick-out right of the VIE shareholders through an exclusive option to purchase all or any part of the shareholders’ equity interest in the VIE at the lowest price permitted under the PRC laws then in effect. In addition, through the exclusive technology consulting and management service agreement and business cooperation agreement, Shanghai Aihui has established the right to receive benefits from the VIE that could potentially be significant to the VIE, and through the share pledge agreement, Shanghai Aihui has, in substance, an obligation to absorb losses of the VIE that could potentially be significant to the VIE. As these contractual arrangements allow the Group to effectively control the VIE and to derive substantially all of the economic benefits from it, the Group has consolidated the VIE.</w:t>
      </w:r>
    </w:p>
    <w:p>
      <w:pPr>
        <w:spacing w:after="0" w:line="207"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Company believes that the contractual arrangements amongst Shanghai Aihui, Shanghai Yueyee and their respective shareholders are in compliance with PRC law and are legally enforceable. However, Shanghai Yueyee and their shareholders may fail to take certain actions required for the Company’s business or to follow the Company’s instructions despite their contractual obligations to do so. Furthermore, if Shanghai Yueyee or their shareholders do not act in the best interests of the Company under the contractual arrangements and any dispute relating to these contractual arrangements remains unresolved, the Company will have to enforce its rights under these contractual arrangements through the operations of PRC law and courts and therefore will be subject to uncertainties in the PRC legal system. All of these contractual arrangements are governed by PRC law and provided for the resolution of disputes through arbitration in the PRC. Accordingly, these contracts would be interpreted in accordance with PRC law and any disputes would be resolved in accordance with PRC legal procedures. As a result, uncertainties in the PRC legal system could limit the Company’s ability to enforce these contractual arrangements, which may make it difficult to exert effective control over Shanghai Yueyee to conduct the Company’s business.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80" w:hanging="4"/>
        <w:spacing w:after="0" w:line="360" w:lineRule="auto"/>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VIE Arrangements—(Continued)</w:t>
      </w:r>
    </w:p>
    <w:p>
      <w:pPr>
        <w:spacing w:after="0" w:line="139" w:lineRule="exact"/>
        <w:rPr>
          <w:sz w:val="20"/>
          <w:szCs w:val="20"/>
          <w:color w:val="auto"/>
        </w:rPr>
      </w:pPr>
    </w:p>
    <w:p>
      <w:pPr>
        <w:ind w:left="120" w:right="540" w:firstLine="551"/>
        <w:spacing w:after="0" w:line="246" w:lineRule="auto"/>
        <w:rPr>
          <w:sz w:val="20"/>
          <w:szCs w:val="20"/>
          <w:color w:val="auto"/>
        </w:rPr>
      </w:pPr>
      <w:r>
        <w:rPr>
          <w:rFonts w:ascii="Arial" w:cs="Arial" w:eastAsia="Arial" w:hAnsi="Arial"/>
          <w:sz w:val="18"/>
          <w:szCs w:val="18"/>
          <w:color w:val="auto"/>
        </w:rPr>
        <w:t>The following financial statement amounts and balances of the VIE were included in the accompanying consolidated financial statements after elimination of intercompany transactions and balances: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7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3"/>
          </w:tcPr>
          <w:p>
            <w:pPr>
              <w:jc w:val="right"/>
              <w:ind w:right="18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167,301</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201,770</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445,531</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from related parties</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105,288</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265,227</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289,156</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Inventories, net</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71,851</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62,973</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151,864</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Prepayments and other receivables, net</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98,856</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124,544</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185,621</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Funds receivable from third party payment service providers</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110,400</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77,084</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122,234</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66,217</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97,454</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68,161</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Intangible assets, net</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12,816</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1,680,450</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1,365,847</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equity investees</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34,717</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41,175</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50,149</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90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1,799,529</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1,799,529</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non-current assets</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12,774</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14,762</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13,649</w:t>
            </w:r>
          </w:p>
        </w:tc>
      </w:tr>
      <w:tr>
        <w:trPr>
          <w:trHeight w:val="210"/>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680,220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4,364,968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4,491,741</w:t>
            </w:r>
          </w:p>
        </w:tc>
        <w:tc>
          <w:tcPr>
            <w:tcW w:w="8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139,983</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167,983</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339,292</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 payables</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41,918</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33,678</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25,573</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138,755</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146,850</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376,159</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welfare</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56,498</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114,332</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114,319</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Amount due to related parties</w:t>
            </w: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41,647</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107,863</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114,551</w:t>
            </w:r>
          </w:p>
        </w:tc>
      </w:tr>
      <w:tr>
        <w:trPr>
          <w:trHeight w:val="203"/>
        </w:trPr>
        <w:tc>
          <w:tcPr>
            <w:tcW w:w="7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liabilities</w:t>
            </w: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1,922</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388,652</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341,462</w:t>
            </w:r>
          </w:p>
        </w:tc>
      </w:tr>
      <w:tr>
        <w:trPr>
          <w:trHeight w:val="203"/>
        </w:trPr>
        <w:tc>
          <w:tcPr>
            <w:tcW w:w="7480" w:type="dxa"/>
            <w:vAlign w:val="bottom"/>
          </w:tcPr>
          <w:p>
            <w:pPr>
              <w:ind w:left="360"/>
              <w:spacing w:after="0" w:line="202" w:lineRule="exact"/>
              <w:rPr>
                <w:sz w:val="20"/>
                <w:szCs w:val="20"/>
                <w:color w:val="auto"/>
              </w:rPr>
            </w:pPr>
            <w:r>
              <w:rPr>
                <w:rFonts w:ascii="Arial" w:cs="Arial" w:eastAsia="Arial" w:hAnsi="Arial"/>
                <w:sz w:val="18"/>
                <w:szCs w:val="18"/>
                <w:color w:val="auto"/>
              </w:rPr>
              <w:t>Convertible bonds</w:t>
            </w:r>
          </w:p>
        </w:tc>
        <w:tc>
          <w:tcPr>
            <w:tcW w:w="220" w:type="dxa"/>
            <w:vAlign w:val="bottom"/>
          </w:tcPr>
          <w:p>
            <w:pPr>
              <w:spacing w:after="0"/>
              <w:rPr>
                <w:sz w:val="17"/>
                <w:szCs w:val="17"/>
                <w:color w:val="auto"/>
              </w:rPr>
            </w:pPr>
          </w:p>
        </w:tc>
        <w:tc>
          <w:tcPr>
            <w:tcW w:w="9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160,000</w:t>
            </w:r>
          </w:p>
        </w:tc>
        <w:tc>
          <w:tcPr>
            <w:tcW w:w="1300" w:type="dxa"/>
            <w:vAlign w:val="bottom"/>
            <w:gridSpan w:val="5"/>
          </w:tcPr>
          <w:p>
            <w:pPr>
              <w:jc w:val="right"/>
              <w:ind w:right="180"/>
              <w:spacing w:after="0" w:line="202" w:lineRule="exact"/>
              <w:rPr>
                <w:sz w:val="20"/>
                <w:szCs w:val="20"/>
                <w:color w:val="auto"/>
              </w:rPr>
            </w:pPr>
            <w:r>
              <w:rPr>
                <w:rFonts w:ascii="Arial" w:cs="Arial" w:eastAsia="Arial" w:hAnsi="Arial"/>
                <w:sz w:val="18"/>
                <w:szCs w:val="18"/>
                <w:color w:val="auto"/>
              </w:rPr>
              <w:t>160,000</w:t>
            </w:r>
          </w:p>
        </w:tc>
        <w:tc>
          <w:tcPr>
            <w:tcW w:w="120" w:type="dxa"/>
            <w:vAlign w:val="bottom"/>
          </w:tcPr>
          <w:p>
            <w:pPr>
              <w:spacing w:after="0"/>
              <w:rPr>
                <w:sz w:val="17"/>
                <w:szCs w:val="17"/>
                <w:color w:val="auto"/>
              </w:rPr>
            </w:pPr>
          </w:p>
        </w:tc>
        <w:tc>
          <w:tcPr>
            <w:tcW w:w="10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160,000</w:t>
            </w:r>
          </w:p>
        </w:tc>
      </w:tr>
      <w:tr>
        <w:trPr>
          <w:trHeight w:val="27"/>
        </w:trPr>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580,723</w:t>
            </w:r>
          </w:p>
        </w:tc>
        <w:tc>
          <w:tcPr>
            <w:tcW w:w="1300" w:type="dxa"/>
            <w:vAlign w:val="bottom"/>
            <w:gridSpan w:val="5"/>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1,119,358</w:t>
            </w: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1,471,356</w:t>
            </w:r>
          </w:p>
        </w:tc>
      </w:tr>
      <w:tr>
        <w:trPr>
          <w:trHeight w:val="20"/>
        </w:trPr>
        <w:tc>
          <w:tcPr>
            <w:tcW w:w="7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7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gridSpan w:val="12"/>
          </w:tcPr>
          <w:p>
            <w:pPr>
              <w:ind w:left="56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48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239"/>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jc w:val="right"/>
              <w:ind w:right="24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74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RMB</w:t>
            </w:r>
          </w:p>
        </w:tc>
        <w:tc>
          <w:tcPr>
            <w:tcW w:w="260" w:type="dxa"/>
            <w:vAlign w:val="bottom"/>
            <w:gridSpan w:val="2"/>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3,213,844</w:t>
            </w:r>
          </w:p>
        </w:tc>
        <w:tc>
          <w:tcPr>
            <w:tcW w:w="6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3,889,141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4,683,756</w:t>
            </w:r>
          </w:p>
        </w:tc>
        <w:tc>
          <w:tcPr>
            <w:tcW w:w="80" w:type="dxa"/>
            <w:vAlign w:val="bottom"/>
            <w:shd w:val="clear" w:color="auto" w:fill="CCEEFF"/>
          </w:tcPr>
          <w:p>
            <w:pPr>
              <w:spacing w:after="0"/>
              <w:rPr>
                <w:sz w:val="17"/>
                <w:szCs w:val="17"/>
                <w:color w:val="auto"/>
              </w:rPr>
            </w:pPr>
          </w:p>
        </w:tc>
      </w:tr>
      <w:tr>
        <w:trPr>
          <w:trHeight w:val="217"/>
        </w:trPr>
        <w:tc>
          <w:tcPr>
            <w:tcW w:w="748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(252,796)</w:t>
            </w:r>
          </w:p>
        </w:tc>
        <w:tc>
          <w:tcPr>
            <w:tcW w:w="6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(691,638)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(414,238)</w:t>
            </w:r>
          </w:p>
        </w:tc>
        <w:tc>
          <w:tcPr>
            <w:tcW w:w="80" w:type="dxa"/>
            <w:vAlign w:val="bottom"/>
          </w:tcPr>
          <w:p>
            <w:pPr>
              <w:spacing w:after="0"/>
              <w:rPr>
                <w:sz w:val="18"/>
                <w:szCs w:val="18"/>
                <w:color w:val="auto"/>
              </w:rPr>
            </w:pPr>
          </w:p>
        </w:tc>
      </w:tr>
      <w:tr>
        <w:trPr>
          <w:trHeight w:val="202"/>
        </w:trPr>
        <w:tc>
          <w:tcPr>
            <w:tcW w:w="74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10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(435,463)</w:t>
            </w:r>
          </w:p>
        </w:tc>
        <w:tc>
          <w:tcPr>
            <w:tcW w:w="6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(354,506)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(264,221)</w:t>
            </w:r>
          </w:p>
        </w:tc>
        <w:tc>
          <w:tcPr>
            <w:tcW w:w="80" w:type="dxa"/>
            <w:vAlign w:val="bottom"/>
            <w:shd w:val="clear" w:color="auto" w:fill="CCEEFF"/>
          </w:tcPr>
          <w:p>
            <w:pPr>
              <w:spacing w:after="0"/>
              <w:rPr>
                <w:sz w:val="17"/>
                <w:szCs w:val="17"/>
                <w:color w:val="auto"/>
              </w:rPr>
            </w:pP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Net cash (used in) provided by investing activities</w:t>
            </w:r>
          </w:p>
        </w:tc>
        <w:tc>
          <w:tcPr>
            <w:tcW w:w="10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(81,624)</w:t>
            </w:r>
          </w:p>
        </w:tc>
        <w:tc>
          <w:tcPr>
            <w:tcW w:w="60" w:type="dxa"/>
            <w:vAlign w:val="bottom"/>
          </w:tcPr>
          <w:p>
            <w:pPr>
              <w:spacing w:after="0"/>
              <w:rPr>
                <w:sz w:val="17"/>
                <w:szCs w:val="17"/>
                <w:color w:val="auto"/>
              </w:rPr>
            </w:pPr>
          </w:p>
        </w:tc>
        <w:tc>
          <w:tcPr>
            <w:tcW w:w="11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(166,824)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(6,684)</w:t>
            </w:r>
          </w:p>
        </w:tc>
        <w:tc>
          <w:tcPr>
            <w:tcW w:w="80" w:type="dxa"/>
            <w:vAlign w:val="bottom"/>
          </w:tcPr>
          <w:p>
            <w:pPr>
              <w:spacing w:after="0"/>
              <w:rPr>
                <w:sz w:val="17"/>
                <w:szCs w:val="17"/>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10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(30,868)</w:t>
            </w:r>
          </w:p>
        </w:tc>
        <w:tc>
          <w:tcPr>
            <w:tcW w:w="6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(13,885)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354,307</w:t>
            </w:r>
          </w:p>
        </w:tc>
        <w:tc>
          <w:tcPr>
            <w:tcW w:w="8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VIE and its subsidiaries contributed 98.54%, 98.91% and 96.41% of the Group’s consolidated revenue for the years ended December 31, 2018, 2019 and 2020, respectively. As of</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60" w:lineRule="auto"/>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VIE Arrangements—(Continued)</w:t>
      </w:r>
    </w:p>
    <w:p>
      <w:pPr>
        <w:spacing w:after="0" w:line="139"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December 31, 2020, the VIE and its subsidiaries accounted for an aggregate of 85.94% of the consolidated total assets, and 94.43% of the consolidated total liabilities. The Group’s non-VIE assets as of December 31, 2020 mainly consist of cash, short-term investments and investment in equity investees.</w:t>
      </w:r>
    </w:p>
    <w:p>
      <w:pPr>
        <w:spacing w:after="0" w:line="203" w:lineRule="exact"/>
        <w:rPr>
          <w:sz w:val="20"/>
          <w:szCs w:val="20"/>
          <w:color w:val="auto"/>
        </w:rPr>
      </w:pPr>
    </w:p>
    <w:p>
      <w:pPr>
        <w:ind w:left="120" w:right="280" w:firstLine="551"/>
        <w:spacing w:after="0" w:line="238" w:lineRule="auto"/>
        <w:rPr>
          <w:sz w:val="20"/>
          <w:szCs w:val="20"/>
          <w:color w:val="auto"/>
        </w:rPr>
      </w:pPr>
      <w:r>
        <w:rPr>
          <w:rFonts w:ascii="Arial" w:cs="Arial" w:eastAsia="Arial" w:hAnsi="Arial"/>
          <w:sz w:val="18"/>
          <w:szCs w:val="18"/>
          <w:color w:val="auto"/>
        </w:rPr>
        <w:t>There are no terms in any arrangements, considering both explicit arrangements and implicit variable interests that require the Group or its subsidiaries to provide financial support to the VIE. However, if the VIE was ever to need financial support, the Group or its subsidiaries may, at its option and subject to statutory limits and restrictions, provide financial support to its VIE through loans to the shareholders of the VIE or entrustment loans to the VIE.</w:t>
      </w:r>
    </w:p>
    <w:p>
      <w:pPr>
        <w:spacing w:after="0" w:line="205"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Group believes that there are no assets held in the consolidated VIE that can be used only to settle obligations of the VIE, except for paid-in capital, additional paid-in capital (“APIC”) and the PRC statutory reserves. As the consolidated VIE is incorporated as a limited liability Company under the PRC Company Law, creditors of the VIE do not have recourse to the general credit of the Company or any of its subsidiaries for any of the liabilities of the consolidated VIE.</w:t>
      </w:r>
    </w:p>
    <w:p>
      <w:pPr>
        <w:spacing w:after="0" w:line="205"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Relevant PRC laws and regulations restrict the VIE from transferring a portion of their net assets, equivalent to the balance of their paid-in capital, APIC and PRC statutory reserve, to the Company in the form of loans and advances or cash dividends.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 Use of Estimates</w:t>
      </w:r>
    </w:p>
    <w:p>
      <w:pPr>
        <w:spacing w:after="0" w:line="126" w:lineRule="exact"/>
        <w:rPr>
          <w:sz w:val="20"/>
          <w:szCs w:val="20"/>
          <w:color w:val="auto"/>
        </w:rPr>
      </w:pPr>
    </w:p>
    <w:p>
      <w:pPr>
        <w:ind w:left="120" w:right="80" w:firstLine="551"/>
        <w:spacing w:after="0" w:line="236"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consolidated financial statements include valuation of convertible redeemable preferred shares , assessment for impairment of long-lived assets, including intangible assets, and goodwill, and investments in equity investees, convertible bonds, fair value of share-based compensation, fair value of assets and liabilities acquired in business combination, inventory provision, allowance for doubtful accounts, depreciable lives of Property and equipment, and useful life of intangible assets and realization of deferred tax assets.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 Fair value measurements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assets or liabilities.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2.4 Fair value measurements—(Continued)</w:t>
      </w:r>
    </w:p>
    <w:p>
      <w:pPr>
        <w:spacing w:after="0" w:line="1"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This guidance specifies a hierarchy of valuation techniques, which is based on whether the inputs into the valuation technique are observable or unobservable. The hierarchy is as follows:</w:t>
      </w:r>
    </w:p>
    <w:p>
      <w:pPr>
        <w:spacing w:after="0" w:line="232" w:lineRule="exact"/>
        <w:rPr>
          <w:sz w:val="20"/>
          <w:szCs w:val="20"/>
          <w:color w:val="auto"/>
        </w:rPr>
      </w:pPr>
    </w:p>
    <w:p>
      <w:pPr>
        <w:ind w:left="1440" w:right="680" w:hanging="867"/>
        <w:spacing w:after="0" w:line="246" w:lineRule="auto"/>
        <w:rPr>
          <w:sz w:val="20"/>
          <w:szCs w:val="20"/>
          <w:color w:val="auto"/>
        </w:rPr>
      </w:pPr>
      <w:r>
        <w:rPr>
          <w:rFonts w:ascii="Arial" w:cs="Arial" w:eastAsia="Arial" w:hAnsi="Arial"/>
          <w:sz w:val="18"/>
          <w:szCs w:val="18"/>
          <w:color w:val="auto"/>
        </w:rPr>
        <w:t>Level 1— Valuation techniques in which all significant inputs are unadjusted quoted prices from active markets for assets or liabilities that are identical to the assets or liabilities being measured.</w:t>
      </w:r>
    </w:p>
    <w:p>
      <w:pPr>
        <w:spacing w:after="0" w:line="89" w:lineRule="exact"/>
        <w:rPr>
          <w:sz w:val="20"/>
          <w:szCs w:val="20"/>
          <w:color w:val="auto"/>
        </w:rPr>
      </w:pPr>
    </w:p>
    <w:p>
      <w:pPr>
        <w:ind w:left="1440" w:hanging="867"/>
        <w:spacing w:after="0" w:line="238" w:lineRule="auto"/>
        <w:rPr>
          <w:sz w:val="20"/>
          <w:szCs w:val="20"/>
          <w:color w:val="auto"/>
        </w:rPr>
      </w:pPr>
      <w:r>
        <w:rPr>
          <w:rFonts w:ascii="Arial" w:cs="Arial" w:eastAsia="Arial" w:hAnsi="Arial"/>
          <w:sz w:val="18"/>
          <w:szCs w:val="18"/>
          <w:color w:val="auto"/>
        </w:rPr>
        <w:t>Level 2— Valuation techniques in which significant inputs include quoted prices from active markets for assets or liabilities that are similar to the assets or liabilities being measured and/or quoted prices for assets or liabilities that are identical or similar to the assets or liabilities being measured from markets that are not active. Also, model-derived valuations in which all significant inputs and significant value drivers are observable in active markets are Level 2 valuation techniques.</w:t>
      </w:r>
    </w:p>
    <w:p>
      <w:pPr>
        <w:spacing w:after="0" w:line="97" w:lineRule="exact"/>
        <w:rPr>
          <w:sz w:val="20"/>
          <w:szCs w:val="20"/>
          <w:color w:val="auto"/>
        </w:rPr>
      </w:pPr>
    </w:p>
    <w:p>
      <w:pPr>
        <w:ind w:left="1440" w:right="140" w:hanging="867"/>
        <w:spacing w:after="0"/>
        <w:rPr>
          <w:sz w:val="20"/>
          <w:szCs w:val="20"/>
          <w:color w:val="auto"/>
        </w:rPr>
      </w:pPr>
      <w:r>
        <w:rPr>
          <w:rFonts w:ascii="Arial" w:cs="Arial" w:eastAsia="Arial" w:hAnsi="Arial"/>
          <w:sz w:val="18"/>
          <w:szCs w:val="18"/>
          <w:color w:val="auto"/>
        </w:rPr>
        <w:t>Level 3— Valuation techniques in which one or more significant inputs or significant value drivers are unobservable. Unobservable inputs are valuation technique inputs that reflect the Group’s own assumptions about the assumptions that market participants would use in pricing an asset or liability.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guidance describes three main approaches to measure the fair value of assets and liabilities: (1) market approach;</w:t>
      </w:r>
    </w:p>
    <w:p>
      <w:pPr>
        <w:ind w:left="120" w:right="80" w:hanging="4"/>
        <w:spacing w:after="0" w:line="238" w:lineRule="auto"/>
        <w:tabs>
          <w:tab w:leader="none" w:pos="39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20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95"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The Group’s financial instruments not measured at fair value including cash and cash equivalents, certain short-term investments, other receivables, amount due from related parties, funds receivable from third party payment service providers, equity investments without readily determinable fair values, short-term borrowings, account payables, amount due to related parties, other current liabilities, convertible bonds and long-term borrowings. The carrying amounts of the short-term financial instruments approximate their costs due to the short-term nature of these assets and liabilities. The carrying amount of the long-term borrowings approximates its fair value as the interest rates are comparable to the prevailing interest rates in the market. The fair value of equity investments without readily determinable fair values and convertible bonds cannot be reasonably estimated without undue costs.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2.4 Fair value measurements—(Continued)</w:t>
      </w:r>
    </w:p>
    <w:p>
      <w:pPr>
        <w:spacing w:after="0" w:line="1"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Group’s assets and liabilities measured at fair value on a recurring basis subsequent initial recognition include certain short-term investments that the Group elects to apply fair value option under ASC 825 (see Note 2.7), which are classified as level 2 within the fair value hierarchy as the key inputs to the valuation model are observable in active markets. The difference between fair value and cost of such short-term investment is immaterial.</w:t>
      </w:r>
    </w:p>
    <w:p>
      <w:pPr>
        <w:spacing w:after="0" w:line="205"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Group’s assets and liabilities measured at fair value on a recurring basis also include the fair value of warrant that is exercisable into the Group’s convertible redeemable preferred shares (see Note 2.15). The Group estimated the fair value of the warrant with assistance of an independent third party valuer. The valuation of the warrant was categorized as Level 3 within the fair value hierarchy as significant inputs are unobservable. Gain from fair value change recognized in the consolidated statements of operations were RMB23,781, nil, and nil for the years ended December 31, 2018, 2019 and 2020, respectively.</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Group’s assets and liabilities measured at fair value on a nonrecurring basis include the fair value of property and equipment, equity method investments, and equity investments without readily determinable fair value when they are deemed to be impaired. The fair values of these investments are determined based on discounted cash flow model or estimated disposal value and were classified as level 3 within the fair value hierarchy. The related losses from such level 3 fair value measurements recognized in the consolidated statements of operations were RMB5,450, RMB4,714, RMB9,949 for the years ended December 31, 2018, 2019 and 2020,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 Functional currency and foreign currency translation</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The functional currency of the Company and its subsidiaries and VIE in the PRC is in Renminbi (“RMB”). The functional currency of the Group’s entities incorporated in Hong Kong (“HK”) is in Hong Kong dollars (“HKD”). The functional currency of the Group’s entities incorporated in the United States is in US dollars (“US$”).</w:t>
      </w:r>
    </w:p>
    <w:p>
      <w:pPr>
        <w:spacing w:after="0" w:line="203"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Monetary assets and liabilities denominated in currencies other than the functional currency are remeasured into the functional currency at the rates of exchange ruling at the balance sheet date. Transactions in currencies other than the functional currency are measured and recorded in the functional currency at the exchange rate prevailing on the transaction date. Transaction gains and losses are recognized in the consolidated statements of operations and comprehensive loss.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Group’s reporting currency is RMB. For entities within the Group that have a functional currency other than the reporting currency, assets and liabilities are translated from each entity’s functional currency to the reporting currency at the exchange rates in effect on the balance sheet date. Equity amounts are translated at historical exchange rates. Revenues, expenses, gains and losses are translated using the average rates for the year. Translation adjustments are reported as cumulative translation adjustments and are shown as a component of other comprehensive income in the statements of comprehensive loss and the consolidated statements of change in shareholders’ deficit.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40" w:hanging="4"/>
        <w:spacing w:after="0" w:line="380" w:lineRule="auto"/>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2.6 Cash and cash equivalents</w:t>
      </w:r>
    </w:p>
    <w:p>
      <w:pPr>
        <w:spacing w:after="0" w:line="1"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Cash and cash equivalents primarily consist of cash on hand and cash in bank which are highly liquid, and monetary fund investments with original maturities of three months or less. As of December 31, 2018, 2019 and 2020, all cash and cash equivalents are unrestricted as to withdrawal and use.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2.7 Short-term investments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Short-term investments include (i) structured product with unsecured principal purchased from financial institutions which have original maturities of less than one year. The Group elects to adopt the fair value option in accordance with ASC 825 Financial Instruments to record the investments at fair value in short-term investments in the consolidated balance sheets. The instruments are valued using valuation models since they are not traded on an exchange. Foreign exchange rates are the significant inputs into the valuation models. These inputs are observable in active markets over the terms of the instruments the Company holds, and accordingly, the fair value measurements are classified as Level 2 in the hierarchy. The Company considers the effect of its own credit standing and that of its counterparties in valuations of its derivative financial instruments. Changes in the fair value is immaterial in the periods presented. (ii) term deposits with original maturities longer than three months but less than one year.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2.8 Inventories, net</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Inventories, consisting of pre-owned and new consumer electronics available for sale, are stated at lower of cost or net realizable value. Provision of inventory is determined using the specific identification method. Adjustments are recorded to write down the cost of inventory to the net realizable value due to slow-moving, which is determined based upon factors such as historical and forecasted consumer demand. No inventory provision was provided for the years ended December 31, 2018, 2019 and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2.9 Property and Equipment, net</w:t>
      </w:r>
    </w:p>
    <w:p>
      <w:pPr>
        <w:spacing w:after="0" w:line="126"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Property and equipment are recorded at cost less accumulated depreciation and impairment. Depreciation is calculated on a straight-line basis over the following estimated useful lives:</w:t>
      </w:r>
    </w:p>
    <w:p>
      <w:pPr>
        <w:sectPr>
          <w:pgSz w:w="11900" w:h="16838" w:orient="portrait"/>
          <w:cols w:equalWidth="0" w:num="1">
            <w:col w:w="11100"/>
          </w:cols>
          <w:pgMar w:left="320" w:top="459" w:right="479" w:bottom="1440" w:gutter="0" w:footer="0" w:header="0"/>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Category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Estimated useful lives</w:t>
      </w:r>
    </w:p>
    <w:p>
      <w:pPr>
        <w:spacing w:after="0" w:line="9" w:lineRule="exact"/>
        <w:rPr>
          <w:sz w:val="20"/>
          <w:szCs w:val="20"/>
          <w:color w:val="auto"/>
        </w:rPr>
      </w:pPr>
    </w:p>
    <w:p>
      <w:pPr>
        <w:sectPr>
          <w:pgSz w:w="11900" w:h="16838" w:orient="portrait"/>
          <w:cols w:equalWidth="0" w:num="2">
            <w:col w:w="5060" w:space="720"/>
            <w:col w:w="532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Machinery</w:t>
      </w:r>
    </w:p>
    <w:p>
      <w:pPr>
        <w:ind w:left="120"/>
        <w:spacing w:after="0" w:line="234" w:lineRule="auto"/>
        <w:rPr>
          <w:sz w:val="20"/>
          <w:szCs w:val="20"/>
          <w:color w:val="auto"/>
        </w:rPr>
      </w:pPr>
      <w:r>
        <w:rPr>
          <w:rFonts w:ascii="Arial" w:cs="Arial" w:eastAsia="Arial" w:hAnsi="Arial"/>
          <w:sz w:val="18"/>
          <w:szCs w:val="18"/>
          <w:color w:val="auto"/>
        </w:rPr>
        <w:t>Electronic equipment</w:t>
      </w:r>
    </w:p>
    <w:p>
      <w:pPr>
        <w:ind w:left="120"/>
        <w:spacing w:after="0" w:line="235" w:lineRule="auto"/>
        <w:rPr>
          <w:sz w:val="20"/>
          <w:szCs w:val="20"/>
          <w:color w:val="auto"/>
        </w:rPr>
      </w:pPr>
      <w:r>
        <w:rPr>
          <w:rFonts w:ascii="Arial" w:cs="Arial" w:eastAsia="Arial" w:hAnsi="Arial"/>
          <w:sz w:val="18"/>
          <w:szCs w:val="18"/>
          <w:color w:val="auto"/>
        </w:rPr>
        <w:t>Leasehold improvement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Furniture and office equipment</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Motor vehicle</w:t>
      </w:r>
    </w:p>
    <w:p>
      <w:pPr>
        <w:ind w:left="120"/>
        <w:spacing w:after="0"/>
        <w:rPr>
          <w:sz w:val="20"/>
          <w:szCs w:val="20"/>
          <w:color w:val="auto"/>
        </w:rPr>
      </w:pPr>
      <w:r>
        <w:rPr>
          <w:rFonts w:ascii="Arial" w:cs="Arial" w:eastAsia="Arial" w:hAnsi="Arial"/>
          <w:sz w:val="18"/>
          <w:szCs w:val="18"/>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3-10 years</w:t>
      </w:r>
    </w:p>
    <w:p>
      <w:pPr>
        <w:spacing w:after="0" w:line="234" w:lineRule="auto"/>
        <w:rPr>
          <w:sz w:val="20"/>
          <w:szCs w:val="20"/>
          <w:color w:val="auto"/>
        </w:rPr>
      </w:pPr>
      <w:r>
        <w:rPr>
          <w:rFonts w:ascii="Arial" w:cs="Arial" w:eastAsia="Arial" w:hAnsi="Arial"/>
          <w:sz w:val="18"/>
          <w:szCs w:val="18"/>
          <w:color w:val="auto"/>
        </w:rPr>
        <w:t>3 years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Over the shorter of the lease term or expected useful lives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234" w:lineRule="auto"/>
        <w:rPr>
          <w:sz w:val="20"/>
          <w:szCs w:val="20"/>
          <w:color w:val="auto"/>
        </w:rPr>
      </w:pPr>
      <w:r>
        <w:rPr>
          <w:rFonts w:ascii="Arial" w:cs="Arial" w:eastAsia="Arial" w:hAnsi="Arial"/>
          <w:sz w:val="18"/>
          <w:szCs w:val="18"/>
          <w:color w:val="auto"/>
        </w:rPr>
        <w:t>4 years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200" w:lineRule="exact"/>
        <w:rPr>
          <w:sz w:val="20"/>
          <w:szCs w:val="20"/>
          <w:color w:val="auto"/>
        </w:rPr>
      </w:pPr>
    </w:p>
    <w:p>
      <w:pPr>
        <w:sectPr>
          <w:pgSz w:w="11900" w:h="16838" w:orient="portrait"/>
          <w:cols w:equalWidth="0" w:num="2">
            <w:col w:w="5060" w:space="720"/>
            <w:col w:w="5320"/>
          </w:cols>
          <w:pgMar w:left="320" w:top="459" w:right="479" w:bottom="1440" w:gutter="0" w:footer="0" w:header="0"/>
          <w:type w:val="continuous"/>
        </w:sectPr>
      </w:pPr>
    </w:p>
    <w:p>
      <w:pPr>
        <w:spacing w:after="0" w:line="1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Repairs and maintenance costs are charged to operating expenses as incurred, whereas the costs of renewals and betterment that extends the useful lives of property and equipment are capitalized as additions to the related assets. Retirements, sales and disposals of assets are recorded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type w:val="continuous"/>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2.9 Property and Equipment, net—(Continued)</w:t>
      </w:r>
    </w:p>
    <w:p>
      <w:pPr>
        <w:spacing w:after="0" w:line="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by removing the costs, accumulated depreciation and impairment with any resulting gain or loss recognized in other operating income, net of consolidated statements of operations and comprehensive loss. The Group recognized nil, nil, and RMB6,449 of impairment loss for the years ended December 31, 2018, 2019 and 2020,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2.10 Intangible assets, net</w:t>
      </w:r>
    </w:p>
    <w:p>
      <w:pPr>
        <w:spacing w:after="0" w:line="126" w:lineRule="exact"/>
        <w:rPr>
          <w:sz w:val="20"/>
          <w:szCs w:val="20"/>
          <w:color w:val="auto"/>
        </w:rPr>
      </w:pPr>
    </w:p>
    <w:p>
      <w:pPr>
        <w:ind w:left="120" w:right="140" w:firstLine="551"/>
        <w:spacing w:after="0" w:line="237" w:lineRule="auto"/>
        <w:rPr>
          <w:sz w:val="20"/>
          <w:szCs w:val="20"/>
          <w:color w:val="auto"/>
        </w:rPr>
      </w:pPr>
      <w:r>
        <w:rPr>
          <w:rFonts w:ascii="Arial" w:cs="Arial" w:eastAsia="Arial" w:hAnsi="Arial"/>
          <w:sz w:val="18"/>
          <w:szCs w:val="18"/>
          <w:color w:val="auto"/>
        </w:rPr>
        <w:t>Intangible assets mainly include those acquired through business combinations and business corporations. Intangible assets arising from the Group’s acquisition of Paipai business from JD.com, Inc. (“JD”) (see Note 3) including Business Cooperation Agreement (“BCA”), Non-Compete Commitment (“NCC”), technology/platform and brand names are recognized and measured at fair value with the assistance of a third-party valuation firm using valuation techniques such as discounted cash flow analysis. Major assumptions used in determining the fair value of these intangible assets include future growth rates and weighted average cost of capital. Following the initial recognition, intangible assets are carried at cost less any accumulated amortization and any accumulated impairment losses. The identifiable intangible assets acquired are amortized on a straight-line basis over their respective useful lives as follows:</w:t>
      </w:r>
    </w:p>
    <w:p>
      <w:pPr>
        <w:sectPr>
          <w:pgSz w:w="11900" w:h="16838" w:orient="portrait"/>
          <w:cols w:equalWidth="0" w:num="1">
            <w:col w:w="11120"/>
          </w:cols>
          <w:pgMar w:left="320" w:top="459" w:right="459" w:bottom="1440" w:gutter="0" w:footer="0" w:header="0"/>
        </w:sectPr>
      </w:pPr>
    </w:p>
    <w:p>
      <w:pPr>
        <w:spacing w:after="0" w:line="217"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The identifiable intangible assets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Amortization Years</w:t>
      </w:r>
    </w:p>
    <w:p>
      <w:pPr>
        <w:spacing w:after="0" w:line="9" w:lineRule="exact"/>
        <w:rPr>
          <w:sz w:val="20"/>
          <w:szCs w:val="20"/>
          <w:color w:val="auto"/>
        </w:rPr>
      </w:pPr>
    </w:p>
    <w:p>
      <w:pPr>
        <w:sectPr>
          <w:pgSz w:w="11900" w:h="16838" w:orient="portrait"/>
          <w:cols w:equalWidth="0" w:num="2">
            <w:col w:w="5200" w:space="720"/>
            <w:col w:w="5200"/>
          </w:cols>
          <w:pgMar w:left="320" w:top="459" w:right="459" w:bottom="1440" w:gutter="0" w:footer="0" w:header="0"/>
          <w:type w:val="continuous"/>
        </w:sectPr>
      </w:pPr>
    </w:p>
    <w:p>
      <w:pPr>
        <w:ind w:left="900"/>
        <w:spacing w:after="0"/>
        <w:rPr>
          <w:sz w:val="20"/>
          <w:szCs w:val="20"/>
          <w:color w:val="auto"/>
        </w:rPr>
      </w:pPr>
      <w:r>
        <w:rPr>
          <w:rFonts w:ascii="Arial" w:cs="Arial" w:eastAsia="Arial" w:hAnsi="Arial"/>
          <w:sz w:val="18"/>
          <w:szCs w:val="18"/>
          <w:color w:val="auto"/>
        </w:rPr>
        <w:t>Brand names</w:t>
      </w:r>
    </w:p>
    <w:p>
      <w:pPr>
        <w:ind w:left="900"/>
        <w:spacing w:after="0" w:line="234" w:lineRule="auto"/>
        <w:rPr>
          <w:sz w:val="20"/>
          <w:szCs w:val="20"/>
          <w:color w:val="auto"/>
        </w:rPr>
      </w:pPr>
      <w:r>
        <w:rPr>
          <w:rFonts w:ascii="Arial" w:cs="Arial" w:eastAsia="Arial" w:hAnsi="Arial"/>
          <w:sz w:val="18"/>
          <w:szCs w:val="18"/>
          <w:color w:val="auto"/>
        </w:rPr>
        <w:t>BCA</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Technology/platform</w:t>
      </w:r>
    </w:p>
    <w:p>
      <w:pPr>
        <w:spacing w:after="0" w:line="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NCC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10 years</w:t>
      </w:r>
    </w:p>
    <w:p>
      <w:pPr>
        <w:spacing w:after="0"/>
        <w:rPr>
          <w:sz w:val="20"/>
          <w:szCs w:val="20"/>
          <w:color w:val="auto"/>
        </w:rPr>
      </w:pPr>
      <w:r>
        <w:rPr>
          <w:rFonts w:ascii="Arial" w:cs="Arial" w:eastAsia="Arial" w:hAnsi="Arial"/>
          <w:sz w:val="17"/>
          <w:szCs w:val="17"/>
          <w:color w:val="auto"/>
        </w:rPr>
        <w:t>1-6 years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rPr>
          <w:sz w:val="20"/>
          <w:szCs w:val="20"/>
          <w:color w:val="auto"/>
        </w:rPr>
      </w:pPr>
      <w:r>
        <w:rPr>
          <w:rFonts w:ascii="Arial" w:cs="Arial" w:eastAsia="Arial" w:hAnsi="Arial"/>
          <w:sz w:val="18"/>
          <w:szCs w:val="18"/>
          <w:color w:val="auto"/>
        </w:rPr>
        <w:t>5 years</w:t>
      </w:r>
    </w:p>
    <w:p>
      <w:pPr>
        <w:spacing w:after="0" w:line="200" w:lineRule="exact"/>
        <w:rPr>
          <w:sz w:val="20"/>
          <w:szCs w:val="20"/>
          <w:color w:val="auto"/>
        </w:rPr>
      </w:pPr>
    </w:p>
    <w:p>
      <w:pPr>
        <w:sectPr>
          <w:pgSz w:w="11900" w:h="16838" w:orient="portrait"/>
          <w:cols w:equalWidth="0" w:num="2">
            <w:col w:w="5200" w:space="720"/>
            <w:col w:w="5200"/>
          </w:cols>
          <w:pgMar w:left="320" w:top="459" w:right="459" w:bottom="1440" w:gutter="0" w:footer="0" w:header="0"/>
          <w:type w:val="continuous"/>
        </w:sectPr>
      </w:pP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2.11 Goodwill</w:t>
      </w:r>
    </w:p>
    <w:p>
      <w:pPr>
        <w:spacing w:after="0" w:line="126"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Goodwill is recognized for the excess of the purchase price over the fair value of tangible and identifiable intangible net assets of business acquired. Goodwill is not amortized but is reviewed at least annually for impairment or earlier, if any indication of impairment exists.</w:t>
      </w:r>
    </w:p>
    <w:p>
      <w:pPr>
        <w:spacing w:after="0" w:line="20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January 1, 2018, the Group chose to early adopt Financial Accounting Standards Board (“FASB”) revised guidance on ASU 2017-04 “Testing of Goodwill for Impairment”. Under this guidance, the Group has the option to choose whether it will apply the qualitative assessment first and then the quantitative assessment, if necessary, or to apply the quantitative assessment directly. If the Group chooses to apply a qualitative assessment first, it starts the goodwill impairment test by assessing qualitative factors to determine whether it is more likely than not that the fair value of a reporting unit is less than its carrying amount. If the Group determines that it is more likely not the fair value of a reporting unit is less than its carrying amount, the quantitative impairment test is mandatory. Otherwise, no further testing is required. The quantitative impairment test consists of comparison of the fair value of a reporting unit to its carrying amount.</w:t>
      </w:r>
    </w:p>
    <w:p>
      <w:pPr>
        <w:spacing w:after="0" w:line="20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type w:val="continuous"/>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2.11 Goodwill—(Continued)</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fair value of reporting units includes estimating future cash flows, determining appropriate discount rates and making other assumptions. Changes in these estimates and assumptions could materially affect the determination of fair value for each reporting unit. The Group has determined it has only one reporting unit and performed its annual goodwill impairment analysis on December 31 of every year. The Group did not have goodwill prior to 2019. As of December 31, 2019 and 2020, the Group performed qualitative assessment and concluded it was not more likely than not the fair value of the reporting unit was less than the carrying value and therefore no further quantitative assessment was performed.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did not recognize any goodwill impairment losses for the years ended December 31, 2018, 2019 and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2.12 Impairment of long-lived assets and intangible assets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The Group evaluates its long-lived assets and intangible assets with definite lives for impairment whenever events or changes in circumstances indicate that the carrying amount of an asset may not be recoverable. When these events occur, the Group measures impairment by comparing the carrying amount of the assets to future undiscounted net cash flows expected to result from the use of the assets and their eventual disposition. The Group recognizes impairment loss on the amount by which the carrying value exceeds the fair value of the asset.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2.13 Investment in equity investees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held by the Group comprised of equity investments in privately-held entities with no control.</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method investments</w:t>
      </w:r>
    </w:p>
    <w:p>
      <w:pPr>
        <w:spacing w:after="0" w:line="10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Group accounts for its in-substance common stock equity investments over which it has significant influence but does not own a majority equity interest or otherwise control using the equity method. The Group adjusts the carrying amount of the investments and recognizes in earnings for share of the earnings or loss of the investee after the date of investment.</w:t>
      </w:r>
    </w:p>
    <w:p>
      <w:pPr>
        <w:spacing w:after="0" w:line="203"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The Group assesses its equity method investments for impairment by considering factors including, but not limited to, current economic and market conditions, operating performance of the entities, including current earnings trends and undiscounted cash flows, and other entity-specific information. The fair value determination, particularly for investments in privately-held entities, requires judgment to determine appropriate estimates and assumptions. Changes in these estimates and assumptions could affect the calculation of the fair value of the investments and determination of whether any identified impairment is other-than-temporary. If the decline in the fair value is deemed to be other-than-temporary, the carrying value of the equity method investment is written down to fair value. The Group did not record any impairment loss for the years ended December 31, 2018, 2019 and 2020, respectively.</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securities without readily determinable fair value</w:t>
      </w:r>
    </w:p>
    <w:p>
      <w:pPr>
        <w:spacing w:after="0" w:line="104" w:lineRule="exact"/>
        <w:rPr>
          <w:sz w:val="20"/>
          <w:szCs w:val="20"/>
          <w:color w:val="auto"/>
        </w:rPr>
      </w:pPr>
    </w:p>
    <w:p>
      <w:pPr>
        <w:ind w:left="120" w:right="60" w:firstLine="551"/>
        <w:spacing w:after="0" w:line="246" w:lineRule="auto"/>
        <w:rPr>
          <w:sz w:val="20"/>
          <w:szCs w:val="20"/>
          <w:color w:val="auto"/>
        </w:rPr>
      </w:pPr>
      <w:r>
        <w:rPr>
          <w:rFonts w:ascii="Arial" w:cs="Arial" w:eastAsia="Arial" w:hAnsi="Arial"/>
          <w:sz w:val="18"/>
          <w:szCs w:val="18"/>
          <w:color w:val="auto"/>
        </w:rPr>
        <w:t>The Group chose to early adopt ASU 2016-01, “Financial Instruments—Overall: Recognition and Measurement of Financial Assets and Financial Liabilities” “) on January 1, 2018 and elected to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40" w:hanging="4"/>
        <w:spacing w:after="0" w:line="380" w:lineRule="auto"/>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2.13 Investment in equity investees—(Continued)</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measure these investments using measurement alternative at cost minus impairment, if any, adjusted up or down for observable price changes in orderly transactions for the identical or similar investment of the same issuer. Any adjustment to the carrying amount is recorded in other income (loss). The Group also makes qualitative assessment at each reporting period and if the assessment indicates that the fair value of the investment is less than the carrying value, the investment in equity securities will be written down to its fair value, with the difference between the fair value of the investment and its carrying amount as an impairment loss recorded in other income (loss), net. The Group recorded impairment losses of RMB5,450, RMB4,714 and RMB3,500 in other income (loss), net for the years ended December 31, 2018, 2019 and 2020,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2.14 Convertible bonds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Convertible bond is accounted for as a liability or is separated into debt and equity components based on its terms in relation to the conversion feature, call and put options, and beneficial conversion feature. Debt discount, if any, together with related issuance cost are subsequently amortized as interest expense, using the effective interest method, from the issuance date to the earliest conversion date. Interest expenses are recognized in the statement of comprehensive income in the period in which they are incurred. The Group accounts for its convertible bonds in accordance with ASC 815 “Derivatives and Hedging” and ASC 470 “Debt” and classifies it as a liability in its entirety.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2.15 Warrant liabilities</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Warrant to subscribe for the Group’s convertible redeemable preferred shares is accounted for as a liability in accordance with ASC 480 “Distinguishing Liabilities from Equity” and measured at fair value at each balance sheet date. The changes in fair value were recorded in fair value change in warrant liabilities in the consolidated statements of operations. Upon exercise, the carrying value of the warrant liabilities is reclassified into convertible redeemable preferred shares along with the exercise proceeds received.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2.16 Mezzanine equity</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Mezzanine equity represents the convertible redeemable preferred shares issued by the Company. The convertible redeemable preferred shares are redeemable at the holders’ option any time after a certain date and are contingently redeemable upon the occurrence of certain events outside of the Company’s control. Therefore, the Group classified all of the convertible redeemable preferred shares as mezzanine equity.</w:t>
      </w:r>
    </w:p>
    <w:p>
      <w:pPr>
        <w:spacing w:after="0" w:line="205"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convertible redeemable preferred shares can be converted either voluntarily before a qualified initial public offering (“Qualified IPO”, referring to a public offering of ordinary shares of the Company registered under the Securities Act and with an offer price per ordinary share representing pre-offering market capitalization of the Company of at least US$3 billion and gross proceeds to the Company in excess of US$250 million) or automatically upon a Qualified IPO.</w:t>
      </w:r>
    </w:p>
    <w:p>
      <w:pPr>
        <w:spacing w:after="0" w:line="205" w:lineRule="exact"/>
        <w:rPr>
          <w:sz w:val="20"/>
          <w:szCs w:val="20"/>
          <w:color w:val="auto"/>
        </w:rPr>
      </w:pPr>
    </w:p>
    <w:p>
      <w:pPr>
        <w:ind w:left="120" w:right="200" w:firstLine="551"/>
        <w:spacing w:after="0" w:line="246" w:lineRule="auto"/>
        <w:rPr>
          <w:sz w:val="20"/>
          <w:szCs w:val="20"/>
          <w:color w:val="auto"/>
        </w:rPr>
      </w:pPr>
      <w:r>
        <w:rPr>
          <w:rFonts w:ascii="Arial" w:cs="Arial" w:eastAsia="Arial" w:hAnsi="Arial"/>
          <w:sz w:val="18"/>
          <w:szCs w:val="18"/>
          <w:color w:val="auto"/>
        </w:rPr>
        <w:t>According to ASC 480, where fair value at date of issue is less than the mandatory redemption amount, the carrying amount is to be increased by periodic accretions so that the carrying amount will</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40" w:right="21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460" w:hanging="4"/>
        <w:spacing w:after="0" w:line="380" w:lineRule="auto"/>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2.16 Mezzanine equity—(Continued)</w:t>
      </w:r>
    </w:p>
    <w:p>
      <w:pPr>
        <w:spacing w:after="0" w:line="1"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equal the mandatory redemption amount at the mandatory redemption date. The Company uses the current redemption value method in calculating the accretion of the convertible redeemable preferred shares as if these convertible redeemable preferred shares were redeemable at the end of each year. Each increase in carrying amount is to be recorded as charges against retained earnings or, in the absence of retained earnings, as charges against additional paid-in capital until additional paid-in capital is reduced to zero. Once paid-in capital is reduced to zero, the redemption value measurement adjustment is recognized as an increase in accumulated deficit.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2.17 Revenue recognition</w:t>
      </w:r>
    </w:p>
    <w:p>
      <w:pPr>
        <w:spacing w:after="0" w:line="126" w:lineRule="exact"/>
        <w:rPr>
          <w:sz w:val="20"/>
          <w:szCs w:val="20"/>
          <w:color w:val="auto"/>
        </w:rPr>
      </w:pPr>
    </w:p>
    <w:p>
      <w:pPr>
        <w:ind w:left="120" w:right="680" w:firstLine="551"/>
        <w:spacing w:after="0" w:line="246" w:lineRule="auto"/>
        <w:rPr>
          <w:sz w:val="20"/>
          <w:szCs w:val="20"/>
          <w:color w:val="auto"/>
        </w:rPr>
      </w:pPr>
      <w:r>
        <w:rPr>
          <w:rFonts w:ascii="Arial" w:cs="Arial" w:eastAsia="Arial" w:hAnsi="Arial"/>
          <w:sz w:val="18"/>
          <w:szCs w:val="18"/>
          <w:color w:val="auto"/>
        </w:rPr>
        <w:t>Revenues are generated primarily from product revenue and service revenue through the platforms the Group offers to its customers. The Group also generates revenues from product sales through offline stores it operates.</w:t>
      </w:r>
    </w:p>
    <w:p>
      <w:pPr>
        <w:spacing w:after="0" w:line="197"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Group adopted ASC 606 “Revenue from Contract with Customers” (“ASC606”) for all periods presented. According to ASC 606, revenue is recognized when control of the promised good or service is transferred to the customer in an amount that reflects the consideration the Group expects to receive in exchange for those goods or services, after considering estimated sales return allowances, price concessions, discount and value added tax (“VAT”). Consistent with the criteria of ASC 606, the Group follows five steps for its revenue recognition: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Net Product Revenue</w:t>
      </w:r>
    </w:p>
    <w:p>
      <w:pPr>
        <w:spacing w:after="0" w:line="104"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majority of the Group’s revenue is derived from online product sales. The Group recognizes revenue from the sale of phones and other consumer electronics goods through the two online platforms it operates: PJT Marketplace (“PJT”) (B2B channel) and Paipai Marketplace (“Paipai”) (B2C channel). The Group utilizes external delivery service providers to deliver goods to its customers. The Group presents revenue generated from its sales of products on a gross basis as the Group has control of the goods and has the ability to direct the use of goods to obtain substantially all the benefits, and recognizes revenue at the point of time when the goods have been delivered to the customers. The customers pay for the goods in advance. The Group offers its customers right of return for a period of 3 to 7 days upon the receipts. Product revenues are reduced by estimated sales return, which has been immaterial in the historical periods. The Group generated net online product revenues in the amount of RMB3,211,376, RMB3,716,757, and RMB3,927,486 in the years ended December 31, 2018, 2019 and 2020, respectively.</w:t>
      </w:r>
    </w:p>
    <w:p>
      <w:pPr>
        <w:spacing w:after="0" w:line="20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For product sales through offline stores, the Group recognizes revenue at the point of time when customers pay and obtain control of the products. The Group generated RMB38,547, RMB13,449, and RMB316,537 of net product revenues in the year ended December 31, 2018, 2019 and 2020 from its offline channel.</w:t>
      </w:r>
    </w:p>
    <w:p>
      <w:pPr>
        <w:spacing w:after="0" w:line="203"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When transactions involving trade-in devices, the purchase of the pre-owned product and the sale of new product are separately settled in cash on a gross basis and accounted for as two separate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20"/>
          </w:cols>
          <w:pgMar w:left="320" w:top="459" w:right="5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2.17 Revenue recognition—(Continued)</w:t>
      </w:r>
    </w:p>
    <w:p>
      <w:pPr>
        <w:spacing w:after="0" w:line="1"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transactions. From July 2020, the Group began to net settle the trade-in transactions, and the fair value of trade-in product is recognized as non-cash consideration for the sale of the new product.</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Net Service Revenue</w:t>
      </w:r>
    </w:p>
    <w:p>
      <w:pPr>
        <w:spacing w:after="0" w:line="104" w:lineRule="exact"/>
        <w:rPr>
          <w:sz w:val="20"/>
          <w:szCs w:val="20"/>
          <w:color w:val="auto"/>
        </w:rPr>
      </w:pPr>
    </w:p>
    <w:p>
      <w:pPr>
        <w:ind w:left="120" w:right="400" w:firstLine="551"/>
        <w:spacing w:after="0" w:line="238" w:lineRule="auto"/>
        <w:rPr>
          <w:sz w:val="20"/>
          <w:szCs w:val="20"/>
          <w:color w:val="auto"/>
        </w:rPr>
      </w:pPr>
      <w:r>
        <w:rPr>
          <w:rFonts w:ascii="Arial" w:cs="Arial" w:eastAsia="Arial" w:hAnsi="Arial"/>
          <w:sz w:val="18"/>
          <w:szCs w:val="18"/>
          <w:color w:val="auto"/>
        </w:rPr>
        <w:t>In addition to product sales, the Group’s PJT Marketplace and Paipai Marketplace also serve as online marketplace to provide third-party merchants platform services enabling them to transact with customers, for which the Group charges commission fees to its merchants and/or customers. Under the platform service arrangement, the Group acts as an agent and does not take control of the products provided by the merchants at any point in the time during the transactions and does not have latitude over pricing of the merchandise.</w:t>
      </w:r>
    </w:p>
    <w:p>
      <w:pPr>
        <w:spacing w:after="0" w:line="202"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For PJT Marketplace, the Group charges both the merchants and business buyers a commission fee. The commission fee charged to the merchants is determined as a percentage based on the executed transaction price, and the commission fee charged to business buyers is determined as a negotiated tiered amount. For Paipai Marketplace, commission fees are charged to merchants only, determined as a percentage based on the executed transaction price. For certain merchants who sell products on the Group’s platform, the Group enters into contractual agreements with these merchants for a fixed monthly marketplace management fee in addition to the commission fees charged for each transaction.</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Commission fees are recognized in the consolidated statements of operations and comprehensive loss at the time when the service obligations to the merchants are determined to have been completed under each sales transaction upon the business buyers’ confirming the receipts of goods or over time for merchants paying fixed monthly management fees. Commission fees are not refundable if business buyers return the merchandise to merchants. The Group recognized RMB198, RMB63,467, and RMB276,721 in net service revenue for PJT Marketplace and nil, RMB120,384, and RMB304,965 in net service revenue for Paipai Marketplace for the years ended December 31, 2018, 2019 and 2020, respectively.</w:t>
      </w:r>
    </w:p>
    <w:p>
      <w:pPr>
        <w:spacing w:after="0" w:line="205"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Group provides a one-year warranty for pre-owned consumer electronics sold on Paipai Marketplace, which is not considered as a separate performance obligation. The costs associated with the warranty was immaterial during the years presented.</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Reconciliation of contract balances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 receivable is recorded when the Group has an unconditional right to consideration. A right to consideration is unconditional if only the passage of time is required before payment of that consideration is due. A contract asset is recorded when the Group has transferred products to the customer before payment is received or is due, and the Group’s right to consideration is conditional on future performance or other factors in the contract. There were no contract asset as of December 31, 2018, 2019, and 2020. Accounts receivable was recorded within prepayments and other receivables, net and not material for all periods presented.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80" w:hanging="4"/>
        <w:spacing w:after="0" w:line="380" w:lineRule="auto"/>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2.17 Revenue recognition—(Continued)</w:t>
      </w:r>
    </w:p>
    <w:p>
      <w:pPr>
        <w:spacing w:after="0" w:line="1"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A contract liability exists when the Group has received consideration but has not transferred the related goods or services to the customer. The Group’s contract liabilities mainly consist of payments received from customers before they received the products. As of December 31, 2018 and 2019 and 2020, balances of the contract liabilities were RMB28,383, RMB25,606 and RMB33,884, and were included in accrued expenses and other current liabilities in the consolidated balance sheets. The contract liabilities were recognized in revenue in the next month.</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costs of obtaining a contract for the years ended December 31, 2018, 2019 and 2020.</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Geographic information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the Group’s net product and service revenues by geographical location: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6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7480" w:type="dxa"/>
            <w:vAlign w:val="bottom"/>
          </w:tcPr>
          <w:p>
            <w:pPr>
              <w:spacing w:after="0"/>
              <w:rPr>
                <w:sz w:val="13"/>
                <w:szCs w:val="13"/>
                <w:color w:val="auto"/>
              </w:rPr>
            </w:pPr>
          </w:p>
        </w:tc>
        <w:tc>
          <w:tcPr>
            <w:tcW w:w="10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7480" w:type="dxa"/>
            <w:vAlign w:val="bottom"/>
          </w:tcPr>
          <w:p>
            <w:pPr>
              <w:spacing w:after="0"/>
              <w:rPr>
                <w:sz w:val="13"/>
                <w:szCs w:val="13"/>
                <w:color w:val="auto"/>
              </w:rPr>
            </w:pPr>
          </w:p>
        </w:tc>
        <w:tc>
          <w:tcPr>
            <w:tcW w:w="1020" w:type="dxa"/>
            <w:vAlign w:val="bottom"/>
          </w:tcPr>
          <w:p>
            <w:pPr>
              <w:jc w:val="right"/>
              <w:ind w:right="255"/>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104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ind w:right="294"/>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Mainland China</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3,210,048</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3,716,757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4,080,229</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Hong Kong</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39,875</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11,588</w:t>
            </w:r>
          </w:p>
        </w:tc>
        <w:tc>
          <w:tcPr>
            <w:tcW w:w="2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145,641</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11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1,861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18,153</w:t>
            </w:r>
          </w:p>
        </w:tc>
      </w:tr>
      <w:tr>
        <w:trPr>
          <w:trHeight w:val="209"/>
        </w:trPr>
        <w:tc>
          <w:tcPr>
            <w:tcW w:w="7480" w:type="dxa"/>
            <w:vAlign w:val="bottom"/>
          </w:tcPr>
          <w:p>
            <w:pPr>
              <w:spacing w:after="0"/>
              <w:rPr>
                <w:sz w:val="20"/>
                <w:szCs w:val="20"/>
                <w:color w:val="auto"/>
              </w:rPr>
            </w:pPr>
            <w:r>
              <w:rPr>
                <w:rFonts w:ascii="Arial" w:cs="Arial" w:eastAsia="Arial" w:hAnsi="Arial"/>
                <w:sz w:val="18"/>
                <w:szCs w:val="18"/>
                <w:b w:val="1"/>
                <w:bCs w:val="1"/>
                <w:color w:val="auto"/>
              </w:rPr>
              <w:t>Net product revenue</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3,249,923</w:t>
            </w:r>
          </w:p>
        </w:tc>
        <w:tc>
          <w:tcPr>
            <w:tcW w:w="1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3,730,206</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4,244,023</w:t>
            </w:r>
          </w:p>
        </w:tc>
        <w:tc>
          <w:tcPr>
            <w:tcW w:w="80" w:type="dxa"/>
            <w:vAlign w:val="bottom"/>
          </w:tcPr>
          <w:p>
            <w:pPr>
              <w:spacing w:after="0"/>
              <w:rPr>
                <w:sz w:val="18"/>
                <w:szCs w:val="18"/>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Mainland China</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11,546</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195,288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611,975</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Hong Kong</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w:t>
            </w:r>
          </w:p>
        </w:tc>
        <w:tc>
          <w:tcPr>
            <w:tcW w:w="12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6,364</w:t>
            </w:r>
          </w:p>
        </w:tc>
        <w:tc>
          <w:tcPr>
            <w:tcW w:w="28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2,201</w:t>
            </w:r>
          </w:p>
        </w:tc>
      </w:tr>
      <w:tr>
        <w:trPr>
          <w:trHeight w:val="27"/>
        </w:trPr>
        <w:tc>
          <w:tcPr>
            <w:tcW w:w="74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service revenue</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11,597</w:t>
            </w:r>
          </w:p>
        </w:tc>
        <w:tc>
          <w:tcPr>
            <w:tcW w:w="12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201,652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614,176</w:t>
            </w:r>
          </w:p>
        </w:tc>
      </w:tr>
      <w:tr>
        <w:trPr>
          <w:trHeight w:val="20"/>
        </w:trPr>
        <w:tc>
          <w:tcPr>
            <w:tcW w:w="7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2.18 Merchandise costs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Merchandise costs primarily consists of cost of acquired products and inbound shipping charges.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2.19 Fulfillment expenses</w:t>
      </w:r>
    </w:p>
    <w:p>
      <w:pPr>
        <w:spacing w:after="0" w:line="126"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Fulfillment expenses consist primarily of expenses incurred in operating the Group’s platform, centralized operation centers and stations, offline stores, warehouse operating costs such as personnel cost and expenses attributable to purchasing, receiving, inspecting and grading, packaging, and preparing customer orders for shipment, as well as outbound shipping charges.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2.20 Technology and content expenses</w:t>
      </w:r>
    </w:p>
    <w:p>
      <w:pPr>
        <w:spacing w:after="0" w:line="126"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Technology and content expenses consist primarily of payroll and related expenses for technology and content employees involved in designing, developing and maintaining technology platform, and improving artificial intelligence, big data and cloud technologies and services, and technology infrastructure costs. Technology infrastructure costs include equipment depreciation, amortization and data center costs. Technology and platform amortization is amortization of platform arising from acquisition of Paipai business (see note 3). Technology and content expenses are expensed as incurred.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2.21 Selling and marketing expenses</w:t>
      </w:r>
    </w:p>
    <w:p>
      <w:pPr>
        <w:spacing w:after="0" w:line="1"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Selling and marketing expenses consist primarily of platform promotion expenses, channel commissions, advertising expenses, amortization expense, and payroll and related expenses for employees involved in marketing and business development activities. Channel commissions consist of commission paid to sales channel providers and collection channel providers. Amortization expense consist of amortization of business cooperation agreement, non-compete commitment, and brand names arising from the acquisition of Paipai business (see note 3). Total advertising expenses were recognized as incurred, and were RMB4,656, RMB10,215, and RMB19,101 for the years ended December 31, 2018, 2019 and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2.22 General and administrative expenses</w:t>
      </w:r>
    </w:p>
    <w:p>
      <w:pPr>
        <w:spacing w:after="0" w:line="126"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General and administrative expenses consist primarily of employee related expenses for general corporate functions, including accounting, finance, tax, legal and human relations; costs associated with these functions including facilities and equipment depreciation expenses, rental and other general corporate related expenses.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2.23 Other operating income</w:t>
      </w:r>
    </w:p>
    <w:p>
      <w:pPr>
        <w:spacing w:after="0" w:line="12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Other operating income consists of government subsidies and tax refund. Government subsidies represent rewards provided by the relevant PRC municipal government authorities to the Group for business achievements made by the Group. Government subsidies are recognized in other operating income in the consolidated statements of operations and comprehensive loss when the government subsidies are received and no further conditions need to be met. Tax refund mainly consists of one-time VAT refund received from government and tax authorities during the year ended December 31,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2.24 Share-based compensation</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Group grants share options to the Founder, its management team and other key employees (collectively, “Share-based Awards”). The Group accounted for the Share-based Awards in accordance with ASC 718 “Compensation—Stock Compensation”. Share-based Awards with service conditions only are measured at the grant date fair value of the awards using the Binomial option pricing model and recognized as expenses using the straight line method, net of actual forfeitures, if any, over the requisite service period. Share-based Awards that are subject to both the service period and the occurrence of Qualified IPO as performance condition are measured at the grant date fair value using the Binomial option pricing model and share-based compensation expenses are recognized for the cumulatively vested amount upon the completion of the IPO first and then over the remaining requisite service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2.25 Employee benefit expenses</w:t>
      </w:r>
    </w:p>
    <w:p>
      <w:pPr>
        <w:spacing w:after="0" w:line="126" w:lineRule="exact"/>
        <w:rPr>
          <w:sz w:val="20"/>
          <w:szCs w:val="20"/>
          <w:color w:val="auto"/>
        </w:rPr>
      </w:pPr>
    </w:p>
    <w:p>
      <w:pPr>
        <w:ind w:left="120" w:right="500" w:firstLine="551"/>
        <w:spacing w:after="0" w:line="261" w:lineRule="auto"/>
        <w:rPr>
          <w:sz w:val="20"/>
          <w:szCs w:val="20"/>
          <w:color w:val="auto"/>
        </w:rPr>
      </w:pPr>
      <w:r>
        <w:rPr>
          <w:rFonts w:ascii="Arial" w:cs="Arial" w:eastAsia="Arial" w:hAnsi="Arial"/>
          <w:sz w:val="17"/>
          <w:szCs w:val="17"/>
          <w:color w:val="auto"/>
        </w:rPr>
        <w:t>As stipulated by the regulations of the PRC, full-time employees of the Group are entitled to various government statutory employee benefit plans, including medical insurance, maternity insurance, workplace injury insurance, unemployment insurance and pension benefits through a PRC government-mandated multi-employer defined contribution plan. The Group is required to make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2.25 Employee benefit expenses—(Continued)</w:t>
      </w:r>
    </w:p>
    <w:p>
      <w:pPr>
        <w:spacing w:after="0" w:line="1"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contributions to the plan and accrues for these benefits based on certain percentages of the qualified employees’ salaries. The total expenses the Group incurred for the plan were RMB42,108, RMB85,187 and RMB51,834 for the years ended December 31, 2018, 2019 and 2020,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2.26 Income taxes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Current income taxes are provided for in accordance with the laws of the relevant tax authorities.</w:t>
      </w:r>
    </w:p>
    <w:p>
      <w:pPr>
        <w:spacing w:after="0" w:line="212"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Deferred income taxes are provided using assets and liabilities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financial statements and tax basis of assets and liabilities using enacted tax rates in effect for the year in which the differences are expected to reverse. Deferred tax assets are recognized to the extent that these assets are more likely than not to be realized. In making such a determination, the management consider all positive and negative evidence, including future reversals of projected future taxable income and results of recent operation. Deferred tax assets are then reduced by a valuation allowance through a charge to income tax expense when, in the opinion of management, it is more likely than not that a portion of or all of the deferred tax assets will not be realized.</w:t>
      </w:r>
    </w:p>
    <w:p>
      <w:pPr>
        <w:spacing w:after="0" w:line="208"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Group accounts for uncertainty in income taxes recognized in the consolidated financial statements by applying a two-step process to determine the amount of the benefit to be recognized. First, the tax position must be evaluated to determine the likelihood that it will be sustained upon external examination by the taxing authorities. If the tax position is deemed more-likely-than-not to be sustained (defined as a likelihood of more than fifty percent of being sustained upon an audit, based on the technical merits of the tax position), the tax position is then assessed to determine the amount of benefits to recognize in the consolidated financial statements. The amount of the benefits that may be recognized is the largest amount that has a greater than 50% likelihood of being realized upon ultimate settlement. Interest and penalties on income taxes will be classified as a component of the provisions for income taxes. The Group did not recognize any income tax due to uncertain tax position or incur any interest and penalties related to potential underpaid income tax expenses for the years ended December 31, 2018, 2019 and 2020.</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2.27 Operating leases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Leases where substantially all the rewards and risks of ownership of assets remain with the lessor are accounted for as operating leases. Total rental payments applicable to such operating leases are recognized on a straight-line basis over the lease term. Certain of the operating lease agreements contain lease incentives and rent holidays and are considered in determining the straight-line rent expense to be recorded over the lease term.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2.28 Comprehensive income (loss)</w:t>
      </w:r>
    </w:p>
    <w:p>
      <w:pPr>
        <w:spacing w:after="0" w:line="126" w:lineRule="exact"/>
        <w:rPr>
          <w:sz w:val="20"/>
          <w:szCs w:val="20"/>
          <w:color w:val="auto"/>
        </w:rPr>
      </w:pPr>
    </w:p>
    <w:p>
      <w:pPr>
        <w:ind w:left="120" w:right="760" w:firstLine="551"/>
        <w:spacing w:after="0" w:line="246" w:lineRule="auto"/>
        <w:rPr>
          <w:sz w:val="20"/>
          <w:szCs w:val="20"/>
          <w:color w:val="auto"/>
        </w:rPr>
      </w:pPr>
      <w:r>
        <w:rPr>
          <w:rFonts w:ascii="Arial" w:cs="Arial" w:eastAsia="Arial" w:hAnsi="Arial"/>
          <w:sz w:val="18"/>
          <w:szCs w:val="18"/>
          <w:color w:val="auto"/>
        </w:rPr>
        <w:t>Comprehensive loss is reported in the consolidated statements of operations and comprehensive loss. Accumulated other comprehensive loss, as presented on the accompanying consolidated balance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380" w:lineRule="auto"/>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2.28 Comprehensive income (loss)—(Continued)</w:t>
      </w:r>
    </w:p>
    <w:p>
      <w:pPr>
        <w:spacing w:after="0" w:line="1"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sheets, represents accumulated foreign currency translation adjustments from its subsidiaries not using the RMB as their functional currency.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2.29 Net loss per share</w:t>
      </w:r>
    </w:p>
    <w:p>
      <w:pPr>
        <w:spacing w:after="0" w:line="12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Basic loss per share is computed by dividing net loss attributable to the holders of ordinary shares by the weighted average number of ordinary shares outstanding during the year. The Company’s convertible redeemable preferred shares do not participate in losses. As such, net loss is allocated entirely to ordinary shareholders in the calculation of net loss per share.</w:t>
      </w:r>
    </w:p>
    <w:p>
      <w:pPr>
        <w:spacing w:after="0" w:line="203"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Diluted earnings per share reflect the potential dilution that could occur if securities or other contracts to issue ordinary shares were exercised or converted into ordinary shares. The Group had convertible redeemable preferred shares, share options and convertible bonds which could potentially dilute basic earnings per ordinary share in the future. To calculate the number of shares for diluted earnings per ordinary share, the effect of the convertible redeemable preferred shares and convertible bonds are computed using the as-if-converted method and the effect of the share options is computed using the treasury stock method.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2.30 Certain risks and concentrations</w:t>
      </w:r>
    </w:p>
    <w:p>
      <w:pPr>
        <w:spacing w:after="0" w:line="12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revenues and expenses of the Group’s entities in the PRC are generally denominated in RMB and their assets and liabilities are denominated in RMB. The RMB is not freely convertible into foreign currencies. Remittances of foreign currencies into the PRC or remittances of RMB out of the PRC as well as exchange between RMB and foreign currencies require approval by foreign exchange administrative authorities and certain supporting documentation. The State Administration for Foreign Exchange, under the authority of the People’s Bank of China, controls the conversion of RMB into other currencies. No customer individually represents greater than 10% of the total net revenues.</w:t>
      </w:r>
    </w:p>
    <w:p>
      <w:pPr>
        <w:spacing w:after="0" w:line="205"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Financial instruments that potentially expose the Group to concentrations of credit risk consist primarily of cash and cash equivalents, other receivable, net, short-term investments, amount due from a related party and funds receivable from third party payment service providers. The Group places its cash and cash equivalents, short-term investments with financial institutions with high-credit ratings and quality. Amount due from a related party and funds receivable from third party payment service providers primarily comprise of the receivable from customers, where the amount is under the Group’s name on these online platforms. Due to the nature of the arrangement, the Group considers there to be no collection risks. Other receivables, net mainly consists of customer deposit where the Group paid on behalf of the business buyers for the purchase deposit. The Group conducts credit evaluations on vendors and require certain amounts of security deposits from them to manage its credit risk.</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2.31 Segment reporting</w:t>
      </w:r>
    </w:p>
    <w:p>
      <w:pPr>
        <w:spacing w:after="0" w:line="12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Based on the criteria established by ASC 280 “Segment Reporting”, the Group’s chief operating decision maker has been identified as the Chairman of the Board of Directors and Chief-Executive Officer, who reviews consolidated results of the Group when making decisions about allocating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40" w:hanging="4"/>
        <w:spacing w:after="0" w:line="380" w:lineRule="auto"/>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2.31 Segment reporting—(Continued)</w:t>
      </w:r>
    </w:p>
    <w:p>
      <w:pPr>
        <w:spacing w:after="0" w:line="1"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resources and assessing performance. The Group has internal reporting of revenue, cost and expenses by nature as a whole. Hence, the Group has only one operating segment. The Company is domiciled in the Cayman Islands while the Group mainly operates its businesses in the PRC.</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2.32 Recent accounting pronouncements</w:t>
      </w:r>
    </w:p>
    <w:p>
      <w:pPr>
        <w:spacing w:after="0" w:line="126" w:lineRule="exact"/>
        <w:rPr>
          <w:sz w:val="20"/>
          <w:szCs w:val="20"/>
          <w:color w:val="auto"/>
        </w:rPr>
      </w:pPr>
    </w:p>
    <w:p>
      <w:pPr>
        <w:ind w:left="120" w:right="300" w:firstLine="551"/>
        <w:spacing w:after="0" w:line="238" w:lineRule="auto"/>
        <w:rPr>
          <w:sz w:val="20"/>
          <w:szCs w:val="20"/>
          <w:color w:val="auto"/>
        </w:rPr>
      </w:pPr>
      <w:r>
        <w:rPr>
          <w:rFonts w:ascii="Arial" w:cs="Arial" w:eastAsia="Arial" w:hAnsi="Arial"/>
          <w:sz w:val="18"/>
          <w:szCs w:val="18"/>
          <w:color w:val="auto"/>
        </w:rPr>
        <w:t>Under the Jumpstart Our Business Startups Act of 2012, as amended (“the JOBS Act”), the Company meets the definition of an emerging growth company, or EGC as of December 31, 2018, December 31, 2019, and December 31, 2020, and has elected the extended transition period for complying with new or revised accounting standards, which delays the adoption of these accounting standards until they would apply to private companies. Once the Company ceases to qualify as EGC, it will immediately adopt the new and revised accounting standards already effective for public companies.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Recently issued accounting pronouncements not yet adopted</w:t>
      </w:r>
    </w:p>
    <w:p>
      <w:pPr>
        <w:spacing w:after="0" w:line="122" w:lineRule="exact"/>
        <w:rPr>
          <w:sz w:val="20"/>
          <w:szCs w:val="20"/>
          <w:color w:val="auto"/>
        </w:rPr>
      </w:pPr>
    </w:p>
    <w:p>
      <w:pPr>
        <w:ind w:left="120" w:right="20" w:firstLine="551"/>
        <w:spacing w:after="0" w:line="236" w:lineRule="auto"/>
        <w:rPr>
          <w:sz w:val="20"/>
          <w:szCs w:val="20"/>
          <w:color w:val="auto"/>
        </w:rPr>
      </w:pPr>
      <w:r>
        <w:rPr>
          <w:rFonts w:ascii="Arial" w:cs="Arial" w:eastAsia="Arial" w:hAnsi="Arial"/>
          <w:sz w:val="18"/>
          <w:szCs w:val="18"/>
          <w:color w:val="auto"/>
        </w:rPr>
        <w:t>In June 2016, the FASB issued ASU 2016-13, Credit Losses, Measurement of Credit Losses on Financial Instruments. This ASU provides more useful information about expected credit losses to financial statement users and changes how entities will measure credit losses on financial instruments and timing of when such losses should be recognized. In May 2019, the FASB issued ASU 2019-05, Financial Instruments—Credit Losses (Topic 326): Targeted Transition Relief. This update adds optional transition relief for entities to elect the fair value option for certain financial assets previously measured at amortized cost basis to increase comparability of similar financial assets. The updates should be applied through a cumulative-effect adjustment to retained earnings as of the beginning of the first reporting period in which the guidance is effective (that is, a modified retrospective approach). In November 19, 2019, the FASB issued ASU 2019-10 to amend the effective date for ASU 2016-13 to be fiscal years beginning after December 15, 2022 and interim periods therein. The Group is in the process of evaluating the impact on its consolidated financial statements upon adoption.</w:t>
      </w:r>
    </w:p>
    <w:p>
      <w:pPr>
        <w:spacing w:after="0" w:line="207" w:lineRule="exact"/>
        <w:rPr>
          <w:sz w:val="20"/>
          <w:szCs w:val="20"/>
          <w:color w:val="auto"/>
        </w:rPr>
      </w:pPr>
    </w:p>
    <w:p>
      <w:pPr>
        <w:ind w:left="120" w:right="340" w:firstLine="551"/>
        <w:spacing w:after="0" w:line="238" w:lineRule="auto"/>
        <w:rPr>
          <w:sz w:val="20"/>
          <w:szCs w:val="20"/>
          <w:color w:val="auto"/>
        </w:rPr>
      </w:pPr>
      <w:r>
        <w:rPr>
          <w:rFonts w:ascii="Arial" w:cs="Arial" w:eastAsia="Arial" w:hAnsi="Arial"/>
          <w:sz w:val="18"/>
          <w:szCs w:val="18"/>
          <w:color w:val="auto"/>
        </w:rPr>
        <w:t>In December 2019, the FASB issued ASU No. 2019-12, simplifying the Accounting for Income Taxes, as part of its initiative to reduce complexity in accounting standards. The amendments in the ASU are effective for the Group for fiscal years beginning after December 15, 2021, with interim periods after December 15, 2022. Early adoption of the standard is permitted, including adoption in interim or annual periods for which financial statements have not yet been issued. The Group plans to adopt the ASU prospectively on January 1, 2021. The ASU is currently not expected to have a material impact on the consolidated financial statements.</w:t>
      </w:r>
    </w:p>
    <w:p>
      <w:pPr>
        <w:spacing w:after="0" w:line="20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February 2016, the FASB issued ASU 2016-02, Leases (Topic 842). The guidance supersedes existing guidance on accounting for leases with the main difference being that operating leases are to be recorded in the statement of financial position as right of use assets and lease liabilities, initially measured at the present value of the lease payments. For operating leases with a term of 12 months or less, a lessee is permitted to make an accounting policy election not to recognize lease assets and liabilities. In transition, entities are required to recognize and measure leases at the beginning of the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560" w:hanging="4"/>
        <w:spacing w:after="0" w:line="403" w:lineRule="auto"/>
        <w:tabs>
          <w:tab w:leader="none" w:pos="66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policies—(Continued) </w:t>
      </w:r>
      <w:r>
        <w:rPr>
          <w:rFonts w:ascii="Arial" w:cs="Arial" w:eastAsia="Arial" w:hAnsi="Arial"/>
          <w:sz w:val="17"/>
          <w:szCs w:val="17"/>
          <w:b w:val="1"/>
          <w:bCs w:val="1"/>
          <w:i w:val="1"/>
          <w:iCs w:val="1"/>
          <w:color w:val="auto"/>
        </w:rPr>
        <w:t>2.32 Recent accounting pronouncements—(Continued)</w:t>
      </w:r>
    </w:p>
    <w:p>
      <w:pPr>
        <w:ind w:left="120" w:right="80"/>
        <w:spacing w:after="0" w:line="237" w:lineRule="auto"/>
        <w:rPr>
          <w:sz w:val="20"/>
          <w:szCs w:val="20"/>
          <w:color w:val="auto"/>
        </w:rPr>
      </w:pPr>
      <w:r>
        <w:rPr>
          <w:rFonts w:ascii="Arial" w:cs="Arial" w:eastAsia="Arial" w:hAnsi="Arial"/>
          <w:sz w:val="18"/>
          <w:szCs w:val="18"/>
          <w:color w:val="auto"/>
        </w:rPr>
        <w:t>earliest period presented using a modified retrospective approach. In July 2018 (ASU 2018-11), the FASB further amended the guidance to provide another transition method in addition to the existing transition method by allowing entities to initially apply the new leases standard at the adoption date and recognize an accumulative-effective adjustment to the opening balance of retained earnings in the period of adoption. In June 2020, the FASB issued ASU 2020-05, Revenue from Contracts with Customers (Topic 606) and Leases (Topic 842)—Effective Dates for Certain Entities, which defer the effective date of leases for private companies to fiscal year beginning after December 15, 2021. The Group is in the process of evaluating the impact on its consolidated financial statements upon adoption.</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August 2020, the FASB issued ASU 2020-06, Debt with Conversion and Other Options (Subtopic 470-20) and Contracts in Entity’s Own Equity (Subtopic 815-40)— Accounting for Convertible Instruments and Contracts in an Entity’s Own Equity. The ASU will be effective for the Group on January 1, 2024 and can be early adopted on January 1, 2021. The guidance reduces the number of accounting models for convertible debt instruments and convertible preferred stock. For convertible instruments with conversion features that are not required to be accounted for as derivatives under Topic 815, Derivatives and Hedging, or that do not result in substantial premiums accounted for as paid-in capital, the embedded conversion features no longer are separated from the host contract. The Group is in the process of evaluating the impact on its consolidated financial statements upon adoption.</w:t>
      </w:r>
    </w:p>
    <w:p>
      <w:pPr>
        <w:spacing w:after="0" w:line="329" w:lineRule="exact"/>
        <w:rPr>
          <w:sz w:val="20"/>
          <w:szCs w:val="20"/>
          <w:color w:val="auto"/>
        </w:rPr>
      </w:pPr>
    </w:p>
    <w:p>
      <w:pPr>
        <w:ind w:left="660" w:hanging="544"/>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6" w:lineRule="exact"/>
        <w:rPr>
          <w:sz w:val="20"/>
          <w:szCs w:val="20"/>
          <w:color w:val="auto"/>
        </w:rPr>
      </w:pPr>
    </w:p>
    <w:p>
      <w:pPr>
        <w:ind w:left="120" w:right="340" w:firstLine="551"/>
        <w:spacing w:after="0"/>
        <w:rPr>
          <w:sz w:val="20"/>
          <w:szCs w:val="20"/>
          <w:color w:val="auto"/>
        </w:rPr>
      </w:pPr>
      <w:r>
        <w:rPr>
          <w:rFonts w:ascii="Arial" w:cs="Arial" w:eastAsia="Arial" w:hAnsi="Arial"/>
          <w:sz w:val="18"/>
          <w:szCs w:val="18"/>
          <w:color w:val="auto"/>
        </w:rPr>
        <w:t>In order to further grow its business and access to the mass retail consumers, the Group acquired Paipai, a pre-owned retail platform from JD.com, Inc. (“JD”) on June 3, 2019 for a net purchase consideration of RMB3,243,036, by issuing 26,379,291 shares of Series E convertible redeemable preferred shares. The Group accounted for this acquisition as business combination.</w:t>
      </w:r>
    </w:p>
    <w:p>
      <w:pPr>
        <w:spacing w:after="0" w:line="203"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Group entered into an exclusive business cooperation agreement with JD in 2017 for a period of three years. In 2019, the Group amended and extended the business cooperation agreement as part of its acquisition of Paipai and recognized an incremental value to the existing business cooperation agreement, together with the newly acquired technologies/platform, non-compete commitment and brand names as identifiable assets. Under the exclusive business cooperation agreement, JD provides the Group with access portals on its own platform that links to the Group’s purchasing and selling online marketplaces, including Paipai, and in return the Group pays JD channel commission based on transaction volume and recorded such payments in selling and marketing expenses.</w:t>
      </w:r>
    </w:p>
    <w:p>
      <w:pPr>
        <w:spacing w:after="0" w:line="205" w:lineRule="exact"/>
        <w:rPr>
          <w:sz w:val="20"/>
          <w:szCs w:val="20"/>
          <w:color w:val="auto"/>
        </w:rPr>
      </w:pPr>
    </w:p>
    <w:p>
      <w:pPr>
        <w:ind w:left="120" w:firstLine="551"/>
        <w:spacing w:after="0" w:line="261" w:lineRule="auto"/>
        <w:rPr>
          <w:sz w:val="20"/>
          <w:szCs w:val="20"/>
          <w:color w:val="auto"/>
        </w:rPr>
      </w:pPr>
      <w:r>
        <w:rPr>
          <w:rFonts w:ascii="Arial" w:cs="Arial" w:eastAsia="Arial" w:hAnsi="Arial"/>
          <w:sz w:val="17"/>
          <w:szCs w:val="17"/>
          <w:color w:val="auto"/>
        </w:rPr>
        <w:t>The fair value of the convertible redeemable preferred shares and purchase price allocation were determined by the Group with the assistance of a third party valuation firm. The following table summarizes the consideration paid for Paipai and the amounts of the assets acquired and liabilities assumed recognized at the acquisition date, as well as the depreciation/amortization period for the acquired assets.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r>
              <w:rPr>
                <w:rFonts w:ascii="Arial" w:cs="Arial" w:eastAsia="Arial" w:hAnsi="Arial"/>
                <w:sz w:val="18"/>
                <w:szCs w:val="18"/>
                <w:b w:val="1"/>
                <w:bCs w:val="1"/>
                <w:color w:val="auto"/>
              </w:rPr>
              <w:t>3.</w:t>
            </w:r>
          </w:p>
        </w:tc>
        <w:tc>
          <w:tcPr>
            <w:tcW w:w="6500" w:type="dxa"/>
            <w:vAlign w:val="bottom"/>
          </w:tcPr>
          <w:p>
            <w:pPr>
              <w:ind w:left="200"/>
              <w:spacing w:after="0"/>
              <w:rPr>
                <w:sz w:val="20"/>
                <w:szCs w:val="20"/>
                <w:color w:val="auto"/>
              </w:rPr>
            </w:pPr>
            <w:r>
              <w:rPr>
                <w:rFonts w:ascii="Arial" w:cs="Arial" w:eastAsia="Arial" w:hAnsi="Arial"/>
                <w:sz w:val="18"/>
                <w:szCs w:val="18"/>
                <w:b w:val="1"/>
                <w:bCs w:val="1"/>
                <w:color w:val="auto"/>
              </w:rPr>
              <w:t>Business combination—(Continued)</w:t>
            </w:r>
          </w:p>
        </w:tc>
        <w:tc>
          <w:tcPr>
            <w:tcW w:w="3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5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02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Consideration</w:t>
            </w:r>
          </w:p>
        </w:tc>
        <w:tc>
          <w:tcPr>
            <w:tcW w:w="3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26,379,291 shares of convertible redeemable preferred shares</w:t>
            </w:r>
          </w:p>
        </w:tc>
        <w:tc>
          <w:tcPr>
            <w:tcW w:w="30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3,243,036</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Fair value of total consideration transferred</w:t>
            </w:r>
          </w:p>
        </w:tc>
        <w:tc>
          <w:tcPr>
            <w:tcW w:w="30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3,243,036</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Recognized amounts of identifiable assets acquired and</w:t>
            </w:r>
          </w:p>
        </w:tc>
        <w:tc>
          <w:tcPr>
            <w:tcW w:w="3000" w:type="dxa"/>
            <w:vAlign w:val="bottom"/>
            <w:vMerge w:val="restart"/>
          </w:tcPr>
          <w:p>
            <w:pPr>
              <w:jc w:val="center"/>
              <w:ind w:left="1555"/>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40" w:type="dxa"/>
            <w:vAlign w:val="bottom"/>
            <w:gridSpan w:val="2"/>
            <w:vMerge w:val="continue"/>
          </w:tcPr>
          <w:p>
            <w:pPr>
              <w:spacing w:after="0"/>
              <w:rPr>
                <w:sz w:val="19"/>
                <w:szCs w:val="19"/>
                <w:color w:val="auto"/>
              </w:rPr>
            </w:pPr>
          </w:p>
        </w:tc>
        <w:tc>
          <w:tcPr>
            <w:tcW w:w="300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8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liabilities assumed</w:t>
            </w:r>
          </w:p>
        </w:tc>
        <w:tc>
          <w:tcPr>
            <w:tcW w:w="3000" w:type="dxa"/>
            <w:vAlign w:val="bottom"/>
          </w:tcPr>
          <w:p>
            <w:pPr>
              <w:jc w:val="center"/>
              <w:ind w:left="1555"/>
              <w:spacing w:after="0"/>
              <w:rPr>
                <w:sz w:val="20"/>
                <w:szCs w:val="20"/>
                <w:color w:val="auto"/>
              </w:rPr>
            </w:pPr>
            <w:r>
              <w:rPr>
                <w:rFonts w:ascii="Arial" w:cs="Arial" w:eastAsia="Arial" w:hAnsi="Arial"/>
                <w:sz w:val="14"/>
                <w:szCs w:val="14"/>
                <w:b w:val="1"/>
                <w:bCs w:val="1"/>
                <w:color w:val="auto"/>
              </w:rPr>
              <w:t>period</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Intangible assets:</w:t>
            </w:r>
          </w:p>
        </w:tc>
        <w:tc>
          <w:tcPr>
            <w:tcW w:w="30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Business Cooperation Agreement</w:t>
            </w:r>
          </w:p>
        </w:tc>
        <w:tc>
          <w:tcPr>
            <w:tcW w:w="3000" w:type="dxa"/>
            <w:vAlign w:val="bottom"/>
          </w:tcPr>
          <w:p>
            <w:pPr>
              <w:jc w:val="center"/>
              <w:ind w:left="1555"/>
              <w:spacing w:after="0" w:line="202" w:lineRule="exact"/>
              <w:rPr>
                <w:sz w:val="20"/>
                <w:szCs w:val="20"/>
                <w:color w:val="auto"/>
              </w:rPr>
            </w:pPr>
            <w:r>
              <w:rPr>
                <w:rFonts w:ascii="Arial" w:cs="Arial" w:eastAsia="Arial" w:hAnsi="Arial"/>
                <w:sz w:val="18"/>
                <w:szCs w:val="18"/>
                <w:color w:val="auto"/>
              </w:rPr>
              <w:t>5-6 years</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1,456,000</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Brand names</w:t>
            </w:r>
          </w:p>
        </w:tc>
        <w:tc>
          <w:tcPr>
            <w:tcW w:w="3000" w:type="dxa"/>
            <w:vAlign w:val="bottom"/>
            <w:shd w:val="clear" w:color="auto" w:fill="CCEEFF"/>
          </w:tcPr>
          <w:p>
            <w:pPr>
              <w:jc w:val="center"/>
              <w:ind w:left="1555"/>
              <w:spacing w:after="0" w:line="202" w:lineRule="exact"/>
              <w:rPr>
                <w:sz w:val="20"/>
                <w:szCs w:val="20"/>
                <w:color w:val="auto"/>
              </w:rPr>
            </w:pPr>
            <w:r>
              <w:rPr>
                <w:rFonts w:ascii="Arial" w:cs="Arial" w:eastAsia="Arial" w:hAnsi="Arial"/>
                <w:sz w:val="18"/>
                <w:szCs w:val="18"/>
                <w:color w:val="auto"/>
                <w:w w:val="98"/>
              </w:rPr>
              <w:t>10 years</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321,000</w:t>
            </w: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Non-compete commitment</w:t>
            </w:r>
          </w:p>
        </w:tc>
        <w:tc>
          <w:tcPr>
            <w:tcW w:w="3000" w:type="dxa"/>
            <w:vAlign w:val="bottom"/>
          </w:tcPr>
          <w:p>
            <w:pPr>
              <w:jc w:val="center"/>
              <w:ind w:left="1555"/>
              <w:spacing w:after="0" w:line="202" w:lineRule="exact"/>
              <w:rPr>
                <w:sz w:val="20"/>
                <w:szCs w:val="20"/>
                <w:color w:val="auto"/>
              </w:rPr>
            </w:pPr>
            <w:r>
              <w:rPr>
                <w:rFonts w:ascii="Arial" w:cs="Arial" w:eastAsia="Arial" w:hAnsi="Arial"/>
                <w:sz w:val="18"/>
                <w:szCs w:val="18"/>
                <w:color w:val="auto"/>
              </w:rPr>
              <w:t>5 years</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Technology and platform</w:t>
            </w:r>
          </w:p>
        </w:tc>
        <w:tc>
          <w:tcPr>
            <w:tcW w:w="3000" w:type="dxa"/>
            <w:vAlign w:val="bottom"/>
            <w:shd w:val="clear" w:color="auto" w:fill="CCEEFF"/>
          </w:tcPr>
          <w:p>
            <w:pPr>
              <w:jc w:val="center"/>
              <w:ind w:left="1555"/>
              <w:spacing w:after="0" w:line="202" w:lineRule="exact"/>
              <w:rPr>
                <w:sz w:val="20"/>
                <w:szCs w:val="20"/>
                <w:color w:val="auto"/>
              </w:rPr>
            </w:pPr>
            <w:r>
              <w:rPr>
                <w:rFonts w:ascii="Arial" w:cs="Arial" w:eastAsia="Arial" w:hAnsi="Arial"/>
                <w:sz w:val="18"/>
                <w:szCs w:val="18"/>
                <w:color w:val="auto"/>
              </w:rPr>
              <w:t>5 years</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w:t>
            </w:r>
          </w:p>
        </w:tc>
        <w:tc>
          <w:tcPr>
            <w:tcW w:w="3000" w:type="dxa"/>
            <w:vAlign w:val="bottom"/>
          </w:tcPr>
          <w:p>
            <w:pPr>
              <w:jc w:val="center"/>
              <w:ind w:left="1555"/>
              <w:spacing w:after="0" w:line="202" w:lineRule="exact"/>
              <w:rPr>
                <w:sz w:val="20"/>
                <w:szCs w:val="20"/>
                <w:color w:val="auto"/>
              </w:rPr>
            </w:pPr>
            <w:r>
              <w:rPr>
                <w:rFonts w:ascii="Arial" w:cs="Arial" w:eastAsia="Arial" w:hAnsi="Arial"/>
                <w:sz w:val="18"/>
                <w:szCs w:val="18"/>
                <w:color w:val="auto"/>
              </w:rPr>
              <w:t>3 years</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0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(415,284)</w:t>
            </w: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00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1,799,529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shd w:val="clear" w:color="auto" w:fill="CCEEFF"/>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3,243,036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identifiable assets acquired are required to be recognized and measured at fair value as of the acquisition date. An intangible asset is identified if it meets either the separability criterion or the contractual-legal criteria in accordance with ASC 805, Business Combination. Fair value of fixed assets acquired approximates the net book value of these assets. The assembled workforce did not meet the separation criteria or the contractual-legal criteria and therefore, are not identifiable and not recognized apart from goodwill. Goodwill recognized from the acquisition was assigned to the entire group and is not expected to be deductible for income tax purposes. The acquisition cost incurred and expensed for the business combination was immaterial.</w:t>
      </w:r>
    </w:p>
    <w:p>
      <w:pPr>
        <w:spacing w:after="0" w:line="205"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The following table summarizes unaudited pro forma results of operations for the years ended December 31, 2018 and 2019 assuming that all acquisitions occurred as of the beginning of period. The pro forma results have been prepared for comparative purpose only based on management’s best estimate and do not purport to be indicative of the results of operations which actually would have resulted had the acquisitions occurred as of the beginning of period:</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80" w:type="dxa"/>
            <w:vAlign w:val="bottom"/>
          </w:tcPr>
          <w:p>
            <w:pPr>
              <w:spacing w:after="0"/>
              <w:rPr>
                <w:sz w:val="15"/>
                <w:szCs w:val="15"/>
                <w:color w:val="auto"/>
              </w:rPr>
            </w:pPr>
          </w:p>
        </w:tc>
        <w:tc>
          <w:tcPr>
            <w:tcW w:w="23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680" w:type="dxa"/>
            <w:vAlign w:val="bottom"/>
          </w:tcPr>
          <w:p>
            <w:pPr>
              <w:spacing w:after="0"/>
              <w:rPr>
                <w:sz w:val="13"/>
                <w:szCs w:val="13"/>
                <w:color w:val="auto"/>
              </w:rPr>
            </w:pPr>
          </w:p>
        </w:tc>
        <w:tc>
          <w:tcPr>
            <w:tcW w:w="96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r>
      <w:tr>
        <w:trPr>
          <w:trHeight w:val="156"/>
        </w:trPr>
        <w:tc>
          <w:tcPr>
            <w:tcW w:w="8680" w:type="dxa"/>
            <w:vAlign w:val="bottom"/>
          </w:tcPr>
          <w:p>
            <w:pPr>
              <w:spacing w:after="0"/>
              <w:rPr>
                <w:sz w:val="13"/>
                <w:szCs w:val="13"/>
                <w:color w:val="auto"/>
              </w:rPr>
            </w:pPr>
          </w:p>
        </w:tc>
        <w:tc>
          <w:tcPr>
            <w:tcW w:w="960" w:type="dxa"/>
            <w:vAlign w:val="bottom"/>
          </w:tcPr>
          <w:p>
            <w:pPr>
              <w:ind w:left="320"/>
              <w:spacing w:after="0" w:line="155"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3"/>
                <w:szCs w:val="13"/>
                <w:color w:val="auto"/>
              </w:rPr>
            </w:pPr>
          </w:p>
        </w:tc>
        <w:tc>
          <w:tcPr>
            <w:tcW w:w="960" w:type="dxa"/>
            <w:vAlign w:val="bottom"/>
          </w:tcPr>
          <w:p>
            <w:pPr>
              <w:ind w:left="32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revenue</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3,355,011</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3,976,874</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Pro forma loss from operations</w:t>
            </w: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(594,043)</w:t>
            </w: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(863,624)</w:t>
            </w:r>
          </w:p>
        </w:tc>
      </w:tr>
      <w:tr>
        <w:trPr>
          <w:trHeight w:val="202"/>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attributable to the Group</w:t>
            </w:r>
          </w:p>
        </w:tc>
        <w:tc>
          <w:tcPr>
            <w:tcW w:w="12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(545,522)</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(836,704)</w:t>
            </w:r>
          </w:p>
        </w:tc>
      </w:tr>
    </w:tbl>
    <w:p>
      <w:pPr>
        <w:spacing w:after="0" w:line="215" w:lineRule="exact"/>
        <w:rPr>
          <w:sz w:val="20"/>
          <w:szCs w:val="20"/>
          <w:color w:val="auto"/>
        </w:rPr>
      </w:pPr>
    </w:p>
    <w:p>
      <w:pPr>
        <w:ind w:left="120" w:right="500" w:firstLine="551"/>
        <w:spacing w:after="0"/>
        <w:rPr>
          <w:sz w:val="20"/>
          <w:szCs w:val="20"/>
          <w:color w:val="auto"/>
        </w:rPr>
      </w:pPr>
      <w:r>
        <w:rPr>
          <w:rFonts w:ascii="Arial" w:cs="Arial" w:eastAsia="Arial" w:hAnsi="Arial"/>
          <w:sz w:val="18"/>
          <w:szCs w:val="18"/>
          <w:color w:val="auto"/>
        </w:rPr>
        <w:t>Since the date of acquisition, revenues of Paipai recognized in the Group’s consolidated statements of operations and comprehensive loss for years ended December 31, 2019 was RMB120,384. The Group determined it is impracticable to disclose net earnings of Paipai since acquisition because it was fully integrated into the Group’s business upon acquisition.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other receivables,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Prepayments and other receivables, net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1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8140" w:type="dxa"/>
            <w:vAlign w:val="bottom"/>
          </w:tcPr>
          <w:p>
            <w:pPr>
              <w:spacing w:after="0"/>
              <w:rPr>
                <w:sz w:val="13"/>
                <w:szCs w:val="13"/>
                <w:color w:val="auto"/>
              </w:rPr>
            </w:pPr>
          </w:p>
        </w:tc>
        <w:tc>
          <w:tcPr>
            <w:tcW w:w="76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78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8140" w:type="dxa"/>
            <w:vAlign w:val="bottom"/>
          </w:tcPr>
          <w:p>
            <w:pPr>
              <w:spacing w:after="0"/>
              <w:rPr>
                <w:sz w:val="13"/>
                <w:szCs w:val="13"/>
                <w:color w:val="auto"/>
              </w:rPr>
            </w:pPr>
          </w:p>
        </w:tc>
        <w:tc>
          <w:tcPr>
            <w:tcW w:w="76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78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Deposits</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7,587</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16,836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17,557</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Customer deposits (1)</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28,566</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55,059</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121,419</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 receivables</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6,883</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12,336</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Advance to suppliers</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29,765</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36,699</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33,058</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VAT recoverables</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21,685</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32,329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50,239</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Others</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4,323</w:t>
            </w: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3,422</w:t>
            </w: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27,661</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advanced to staff</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2,202</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3,606</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6,014</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Less: allowance</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(669)</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(390)</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7"/>
        </w:trPr>
        <w:tc>
          <w:tcPr>
            <w:tcW w:w="8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100,342</w:t>
            </w: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149,349</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268,284</w:t>
            </w:r>
          </w:p>
        </w:tc>
      </w:tr>
      <w:tr>
        <w:trPr>
          <w:trHeight w:val="20"/>
        </w:trPr>
        <w:tc>
          <w:tcPr>
            <w:tcW w:w="8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right="1660" w:hanging="544"/>
        <w:spacing w:after="0" w:line="493" w:lineRule="auto"/>
        <w:tabs>
          <w:tab w:leader="none" w:pos="64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amount relates to the refundable deposits paid to merchants to whom the Group provides platform service. The movements in the allowance for doubtful accounts are as follows:</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00" w:type="dxa"/>
            <w:vAlign w:val="bottom"/>
          </w:tcPr>
          <w:p>
            <w:pPr>
              <w:spacing w:after="0"/>
              <w:rPr>
                <w:sz w:val="15"/>
                <w:szCs w:val="15"/>
                <w:color w:val="auto"/>
              </w:rPr>
            </w:pPr>
          </w:p>
        </w:tc>
        <w:tc>
          <w:tcPr>
            <w:tcW w:w="2020" w:type="dxa"/>
            <w:vAlign w:val="bottom"/>
            <w:gridSpan w:val="7"/>
          </w:tcPr>
          <w:p>
            <w:pPr>
              <w:ind w:left="28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9000" w:type="dxa"/>
            <w:vAlign w:val="bottom"/>
          </w:tcPr>
          <w:p>
            <w:pPr>
              <w:spacing w:after="0"/>
              <w:rPr>
                <w:sz w:val="13"/>
                <w:szCs w:val="13"/>
                <w:color w:val="auto"/>
              </w:rPr>
            </w:pPr>
          </w:p>
        </w:tc>
        <w:tc>
          <w:tcPr>
            <w:tcW w:w="36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9000" w:type="dxa"/>
            <w:vAlign w:val="bottom"/>
          </w:tcPr>
          <w:p>
            <w:pPr>
              <w:spacing w:after="0"/>
              <w:rPr>
                <w:sz w:val="13"/>
                <w:szCs w:val="13"/>
                <w:color w:val="auto"/>
              </w:rPr>
            </w:pPr>
          </w:p>
        </w:tc>
        <w:tc>
          <w:tcPr>
            <w:tcW w:w="3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c>
          <w:tcPr>
            <w:tcW w:w="58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58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3"/>
                <w:szCs w:val="13"/>
                <w:color w:val="auto"/>
              </w:rPr>
            </w:pPr>
          </w:p>
        </w:tc>
      </w:tr>
      <w:tr>
        <w:trPr>
          <w:trHeight w:val="203"/>
        </w:trPr>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w:t>
            </w:r>
          </w:p>
        </w:tc>
        <w:tc>
          <w:tcPr>
            <w:tcW w:w="5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669</w:t>
            </w:r>
          </w:p>
        </w:tc>
        <w:tc>
          <w:tcPr>
            <w:tcW w:w="7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390</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Current period provision</w:t>
            </w:r>
          </w:p>
        </w:tc>
        <w:tc>
          <w:tcPr>
            <w:tcW w:w="38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669</w:t>
            </w:r>
          </w:p>
        </w:tc>
        <w:tc>
          <w:tcPr>
            <w:tcW w:w="14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6,959</w:t>
            </w:r>
          </w:p>
        </w:tc>
        <w:tc>
          <w:tcPr>
            <w:tcW w:w="7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4,600</w:t>
            </w:r>
          </w:p>
        </w:tc>
      </w:tr>
      <w:tr>
        <w:trPr>
          <w:trHeight w:val="203"/>
        </w:trPr>
        <w:tc>
          <w:tcPr>
            <w:tcW w:w="9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period write-off</w:t>
            </w:r>
          </w:p>
        </w:tc>
        <w:tc>
          <w:tcPr>
            <w:tcW w:w="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(7,238)</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(4,990)</w:t>
            </w:r>
          </w:p>
        </w:tc>
      </w:tr>
      <w:tr>
        <w:trPr>
          <w:trHeight w:val="209"/>
        </w:trPr>
        <w:tc>
          <w:tcPr>
            <w:tcW w:w="900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3"/>
              </w:rPr>
              <w:t>669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9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 December 31,</w:t>
            </w: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5"/>
        </w:trPr>
        <w:tc>
          <w:tcPr>
            <w:tcW w:w="39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74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78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5"/>
        </w:trPr>
        <w:tc>
          <w:tcPr>
            <w:tcW w:w="39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74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3"/>
                <w:szCs w:val="13"/>
                <w:color w:val="auto"/>
              </w:rPr>
            </w:pPr>
          </w:p>
        </w:tc>
        <w:tc>
          <w:tcPr>
            <w:tcW w:w="78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Cost</w:t>
            </w:r>
          </w:p>
        </w:tc>
        <w:tc>
          <w:tcPr>
            <w:tcW w:w="4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Machinery</w:t>
            </w:r>
          </w:p>
        </w:tc>
        <w:tc>
          <w:tcPr>
            <w:tcW w:w="506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15,185</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36,773</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31,098</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Electronic equipment</w:t>
            </w:r>
          </w:p>
        </w:tc>
        <w:tc>
          <w:tcPr>
            <w:tcW w:w="506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26,249</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49,812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55,491</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Leasehold improvement</w:t>
            </w:r>
          </w:p>
        </w:tc>
        <w:tc>
          <w:tcPr>
            <w:tcW w:w="506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37,069</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64,934</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79,111</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506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23</w:t>
            </w: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Motor vehicles</w:t>
            </w:r>
          </w:p>
        </w:tc>
        <w:tc>
          <w:tcPr>
            <w:tcW w:w="506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806</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1,423</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1,423</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Software</w:t>
            </w:r>
          </w:p>
        </w:tc>
        <w:tc>
          <w:tcPr>
            <w:tcW w:w="4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3,651</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4,045</w:t>
            </w:r>
          </w:p>
        </w:tc>
      </w:tr>
      <w:tr>
        <w:trPr>
          <w:trHeight w:val="20"/>
        </w:trPr>
        <w:tc>
          <w:tcPr>
            <w:tcW w:w="3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4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80,430</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156,825</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171,428</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506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(26,192)</w:t>
            </w:r>
          </w:p>
        </w:tc>
        <w:tc>
          <w:tcPr>
            <w:tcW w:w="10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(58,635)</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(102,002)</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4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13,300</w:t>
            </w:r>
          </w:p>
        </w:tc>
        <w:tc>
          <w:tcPr>
            <w:tcW w:w="220" w:type="dxa"/>
            <w:vAlign w:val="bottom"/>
          </w:tcPr>
          <w:p>
            <w:pPr>
              <w:spacing w:after="0"/>
              <w:rPr>
                <w:sz w:val="17"/>
                <w:szCs w:val="17"/>
                <w:color w:val="auto"/>
              </w:rPr>
            </w:pP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136</w:t>
            </w:r>
          </w:p>
        </w:tc>
      </w:tr>
      <w:tr>
        <w:trPr>
          <w:trHeight w:val="27"/>
        </w:trPr>
        <w:tc>
          <w:tcPr>
            <w:tcW w:w="39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4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67,538</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99,218</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69,562</w:t>
            </w:r>
          </w:p>
        </w:tc>
      </w:tr>
      <w:tr>
        <w:trPr>
          <w:trHeight w:val="20"/>
        </w:trPr>
        <w:tc>
          <w:tcPr>
            <w:tcW w:w="3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5060" w:type="dxa"/>
            <w:vAlign w:val="bottom"/>
            <w:gridSpan w:val="3"/>
          </w:tcPr>
          <w:p>
            <w:pPr>
              <w:jc w:val="right"/>
              <w:ind w:right="3228"/>
              <w:spacing w:after="0"/>
              <w:rPr>
                <w:sz w:val="20"/>
                <w:szCs w:val="20"/>
                <w:color w:val="auto"/>
              </w:rPr>
            </w:pPr>
            <w:r>
              <w:rPr>
                <w:rFonts w:ascii="Arial" w:cs="Arial" w:eastAsia="Arial" w:hAnsi="Arial"/>
                <w:sz w:val="18"/>
                <w:szCs w:val="18"/>
                <w:color w:val="auto"/>
              </w:rPr>
              <w:t>F-30</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net—(Continued)</w:t>
      </w:r>
    </w:p>
    <w:p>
      <w:pPr>
        <w:spacing w:after="0" w:line="139"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Depreciation expense was RMB14,458, RMB38,044 and RMB45,659 for the years ended December 31, 2018, 2019 and 2020, respectively. The Group recorded RMB 6,449 impairment during the year ended December 31, 2020.</w:t>
      </w:r>
    </w:p>
    <w:p>
      <w:pPr>
        <w:spacing w:after="0" w:line="323" w:lineRule="exact"/>
        <w:rPr>
          <w:sz w:val="20"/>
          <w:szCs w:val="20"/>
          <w:color w:val="auto"/>
        </w:rPr>
      </w:pPr>
    </w:p>
    <w:p>
      <w:pPr>
        <w:ind w:left="660" w:hanging="544"/>
        <w:spacing w:after="0"/>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5"/>
        </w:trPr>
        <w:tc>
          <w:tcPr>
            <w:tcW w:w="7700" w:type="dxa"/>
            <w:vAlign w:val="bottom"/>
          </w:tcPr>
          <w:p>
            <w:pPr>
              <w:spacing w:after="0"/>
              <w:rPr>
                <w:sz w:val="13"/>
                <w:szCs w:val="13"/>
                <w:color w:val="auto"/>
              </w:rPr>
            </w:pPr>
          </w:p>
        </w:tc>
        <w:tc>
          <w:tcPr>
            <w:tcW w:w="78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080" w:type="dxa"/>
            <w:vAlign w:val="bottom"/>
            <w:gridSpan w:val="2"/>
          </w:tcPr>
          <w:p>
            <w:pPr>
              <w:ind w:left="44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6"/>
        </w:trPr>
        <w:tc>
          <w:tcPr>
            <w:tcW w:w="7700" w:type="dxa"/>
            <w:vAlign w:val="bottom"/>
          </w:tcPr>
          <w:p>
            <w:pPr>
              <w:spacing w:after="0"/>
              <w:rPr>
                <w:sz w:val="13"/>
                <w:szCs w:val="13"/>
                <w:color w:val="auto"/>
              </w:rPr>
            </w:pPr>
          </w:p>
        </w:tc>
        <w:tc>
          <w:tcPr>
            <w:tcW w:w="78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Borders>
              <w:top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Cooperation Agreement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79,017</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1,535,017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1,535,017</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Brand names</w:t>
            </w: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321,000</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321,000</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Non-compete commitment</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27,141</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79,141</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79,141</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Technology/platform</w:t>
            </w:r>
          </w:p>
        </w:tc>
        <w:tc>
          <w:tcPr>
            <w:tcW w:w="7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31,600</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31,600</w:t>
            </w: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106,158</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1,966,758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1,966,758</w:t>
            </w:r>
          </w:p>
        </w:tc>
      </w:tr>
      <w:tr>
        <w:trPr>
          <w:trHeight w:val="203"/>
        </w:trPr>
        <w:tc>
          <w:tcPr>
            <w:tcW w:w="7700" w:type="dxa"/>
            <w:vAlign w:val="bottom"/>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(87,167)</w:t>
            </w:r>
          </w:p>
        </w:tc>
        <w:tc>
          <w:tcPr>
            <w:tcW w:w="13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(283,795)</w:t>
            </w: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(598,917)</w:t>
            </w:r>
          </w:p>
        </w:tc>
      </w:tr>
      <w:tr>
        <w:trPr>
          <w:trHeight w:val="27"/>
        </w:trPr>
        <w:tc>
          <w:tcPr>
            <w:tcW w:w="7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18,991</w:t>
            </w:r>
          </w:p>
        </w:tc>
        <w:tc>
          <w:tcPr>
            <w:tcW w:w="132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1,682,963</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1,367,841</w:t>
            </w:r>
          </w:p>
        </w:tc>
      </w:tr>
      <w:tr>
        <w:trPr>
          <w:trHeight w:val="20"/>
        </w:trPr>
        <w:tc>
          <w:tcPr>
            <w:tcW w:w="7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60" w:firstLine="551"/>
        <w:spacing w:after="0" w:line="261" w:lineRule="auto"/>
        <w:rPr>
          <w:sz w:val="20"/>
          <w:szCs w:val="20"/>
          <w:color w:val="auto"/>
        </w:rPr>
      </w:pPr>
      <w:r>
        <w:rPr>
          <w:rFonts w:ascii="Arial" w:cs="Arial" w:eastAsia="Arial" w:hAnsi="Arial"/>
          <w:sz w:val="17"/>
          <w:szCs w:val="17"/>
          <w:color w:val="auto"/>
        </w:rPr>
        <w:t>Amortization expenses related to intangible assets were RMB23,663, RMB196,628, and RMB315,122 for the years ended December 31, 2018, 2019 and 2020, respectively. The Group expects to record amortization expenses of RMB310,300, RMB310,300, RMB310,300, RMB229,781, RMB89,257 for the years ending December 31, 2021, 2022, 2023, 2024 and 2025, respectively.</w:t>
      </w:r>
    </w:p>
    <w:p>
      <w:pPr>
        <w:spacing w:after="0" w:line="312" w:lineRule="exact"/>
        <w:rPr>
          <w:sz w:val="20"/>
          <w:szCs w:val="20"/>
          <w:color w:val="auto"/>
        </w:rPr>
      </w:pPr>
    </w:p>
    <w:p>
      <w:pPr>
        <w:ind w:left="660" w:hanging="544"/>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equity investees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Group’s investments in equity investees comprise the following:</w:t>
      </w:r>
    </w:p>
    <w:p>
      <w:pPr>
        <w:spacing w:after="0" w:line="212" w:lineRule="exact"/>
        <w:rPr>
          <w:sz w:val="20"/>
          <w:szCs w:val="20"/>
          <w:color w:val="auto"/>
        </w:rPr>
      </w:pPr>
    </w:p>
    <w:p>
      <w:pPr>
        <w:jc w:val="both"/>
        <w:ind w:left="120" w:right="100" w:firstLine="551"/>
        <w:spacing w:after="0" w:line="246" w:lineRule="auto"/>
        <w:rPr>
          <w:sz w:val="20"/>
          <w:szCs w:val="20"/>
          <w:color w:val="auto"/>
        </w:rPr>
      </w:pPr>
      <w:r>
        <w:rPr>
          <w:rFonts w:ascii="Arial" w:cs="Arial" w:eastAsia="Arial" w:hAnsi="Arial"/>
          <w:sz w:val="18"/>
          <w:szCs w:val="18"/>
          <w:color w:val="auto"/>
        </w:rPr>
        <w:t>Investments accounted for under equity method where the Group can exert significant influence but does not own a majority equity interest or otherwise control:</w:t>
      </w:r>
    </w:p>
    <w:p>
      <w:pPr>
        <w:spacing w:after="0" w:line="211"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8890</wp:posOffset>
            </wp:positionV>
            <wp:extent cx="10801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9" w:lineRule="exact"/>
        <w:rPr>
          <w:sz w:val="20"/>
          <w:szCs w:val="20"/>
          <w:color w:val="auto"/>
        </w:rPr>
      </w:pPr>
    </w:p>
    <w:p>
      <w:pPr>
        <w:ind w:left="9380"/>
        <w:spacing w:after="0"/>
        <w:tabs>
          <w:tab w:leader="none" w:pos="9880" w:val="left"/>
          <w:tab w:leader="none" w:pos="10560" w:val="left"/>
        </w:tabs>
        <w:rPr>
          <w:sz w:val="20"/>
          <w:szCs w:val="20"/>
          <w:color w:val="auto"/>
        </w:rPr>
      </w:pPr>
      <w:r>
        <w:rPr>
          <w:rFonts w:ascii="Arial" w:cs="Arial" w:eastAsia="Arial" w:hAnsi="Arial"/>
          <w:sz w:val="14"/>
          <w:szCs w:val="14"/>
          <w:b w:val="1"/>
          <w:bCs w:val="1"/>
          <w:u w:val="single" w:color="auto"/>
          <w:color w:val="auto"/>
        </w:rPr>
        <w:t>2018</w:t>
      </w:r>
      <w:r>
        <w:rPr>
          <w:sz w:val="20"/>
          <w:szCs w:val="20"/>
          <w:color w:val="auto"/>
        </w:rPr>
        <w:tab/>
      </w:r>
      <w:r>
        <w:rPr>
          <w:rFonts w:ascii="Arial" w:cs="Arial" w:eastAsia="Arial" w:hAnsi="Arial"/>
          <w:sz w:val="14"/>
          <w:szCs w:val="14"/>
          <w:b w:val="1"/>
          <w:bCs w:val="1"/>
          <w:u w:val="single" w:color="auto"/>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6614160</wp:posOffset>
            </wp:positionH>
            <wp:positionV relativeFrom="paragraph">
              <wp:posOffset>0</wp:posOffset>
            </wp:positionV>
            <wp:extent cx="4114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ind w:left="9380"/>
        <w:spacing w:after="0"/>
        <w:tabs>
          <w:tab w:leader="none" w:pos="9880" w:val="left"/>
          <w:tab w:leader="none" w:pos="10560" w:val="left"/>
        </w:tabs>
        <w:rPr>
          <w:sz w:val="20"/>
          <w:szCs w:val="20"/>
          <w:color w:val="auto"/>
        </w:rPr>
      </w:pPr>
      <w:r>
        <w:rPr>
          <w:rFonts w:ascii="Arial" w:cs="Arial" w:eastAsia="Arial" w:hAnsi="Arial"/>
          <w:sz w:val="14"/>
          <w:szCs w:val="14"/>
          <w:b w:val="1"/>
          <w:bCs w:val="1"/>
          <w:color w:val="auto"/>
        </w:rPr>
        <w:t>RMB</w:t>
        <w:tab/>
        <w:t>RMB</w:t>
      </w:r>
      <w:r>
        <w:rPr>
          <w:sz w:val="20"/>
          <w:szCs w:val="20"/>
          <w:color w:val="auto"/>
        </w:rPr>
        <w:tab/>
      </w:r>
      <w:r>
        <w:rPr>
          <w:rFonts w:ascii="Arial" w:cs="Arial" w:eastAsia="Arial" w:hAnsi="Arial"/>
          <w:sz w:val="14"/>
          <w:szCs w:val="14"/>
          <w:b w:val="1"/>
          <w:bCs w:val="1"/>
          <w:color w:val="auto"/>
        </w:rPr>
        <w:t>RMB</w:t>
      </w:r>
    </w:p>
    <w:tbl>
      <w:tblPr>
        <w:tblLayout w:type="fixed"/>
        <w:tblInd w:w="120" w:type="dxa"/>
        <w:tblCellMar>
          <w:top w:w="0" w:type="dxa"/>
          <w:left w:w="0" w:type="dxa"/>
          <w:bottom w:w="0" w:type="dxa"/>
          <w:right w:w="0" w:type="dxa"/>
        </w:tblCellMar>
      </w:tblPr>
      <w:tr>
        <w:trPr>
          <w:trHeight w:val="217"/>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Shanghai Yueqing Information Technology Co., Ltd. (“Yueqing”</w:t>
            </w:r>
            <w:r>
              <w:rPr>
                <w:rFonts w:ascii="Arial" w:cs="Arial" w:eastAsia="Arial" w:hAnsi="Arial"/>
                <w:sz w:val="16"/>
                <w:szCs w:val="16"/>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874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1,349</w:t>
            </w: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Other (1)</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12,000</w:t>
            </w:r>
          </w:p>
        </w:tc>
      </w:tr>
      <w:tr>
        <w:trPr>
          <w:trHeight w:val="27"/>
        </w:trPr>
        <w:tc>
          <w:tcPr>
            <w:tcW w:w="9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investments accounted for under equity method</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3"/>
              </w:rPr>
              <w:t>874</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13,349</w:t>
            </w:r>
          </w:p>
        </w:tc>
      </w:tr>
      <w:tr>
        <w:trPr>
          <w:trHeight w:val="20"/>
        </w:trPr>
        <w:tc>
          <w:tcPr>
            <w:tcW w:w="9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80" w:firstLine="551"/>
        <w:spacing w:after="0"/>
        <w:rPr>
          <w:sz w:val="20"/>
          <w:szCs w:val="20"/>
          <w:color w:val="auto"/>
        </w:rPr>
      </w:pPr>
      <w:r>
        <w:rPr>
          <w:rFonts w:ascii="Arial" w:cs="Arial" w:eastAsia="Arial" w:hAnsi="Arial"/>
          <w:sz w:val="18"/>
          <w:szCs w:val="18"/>
          <w:color w:val="auto"/>
        </w:rPr>
        <w:t>The Group can exercise significant influence through board representation and as such accounted for the investments using equity method of accounting. The Group did not recognized any impairment in investments accounted for under equity method during the years ended December 31, 2018, 2019 and 2020.</w:t>
      </w:r>
    </w:p>
    <w:p>
      <w:pPr>
        <w:spacing w:after="0" w:line="108" w:lineRule="exact"/>
        <w:rPr>
          <w:sz w:val="20"/>
          <w:szCs w:val="20"/>
          <w:color w:val="auto"/>
        </w:rPr>
      </w:pPr>
    </w:p>
    <w:p>
      <w:pPr>
        <w:ind w:left="660" w:right="220" w:hanging="544"/>
        <w:spacing w:after="0" w:line="246"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Group made other investments where it has a significant influence to at amount of RMB3,000 and RMB8,000 during the year ended December 31, 2019 and 2020, respectively. They Group</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equity investees—(Continued)</w:t>
      </w:r>
    </w:p>
    <w:p>
      <w:pPr>
        <w:spacing w:after="0" w:line="139" w:lineRule="exact"/>
        <w:rPr>
          <w:rFonts w:ascii="Arial" w:cs="Arial" w:eastAsia="Arial" w:hAnsi="Arial"/>
          <w:sz w:val="18"/>
          <w:szCs w:val="18"/>
          <w:b w:val="1"/>
          <w:bCs w:val="1"/>
          <w:color w:val="auto"/>
        </w:rPr>
      </w:pPr>
    </w:p>
    <w:p>
      <w:pPr>
        <w:ind w:left="660" w:right="80"/>
        <w:spacing w:after="0" w:line="261" w:lineRule="auto"/>
        <w:rPr>
          <w:rFonts w:ascii="Arial" w:cs="Arial" w:eastAsia="Arial" w:hAnsi="Arial"/>
          <w:sz w:val="18"/>
          <w:szCs w:val="18"/>
          <w:b w:val="1"/>
          <w:bCs w:val="1"/>
          <w:color w:val="auto"/>
        </w:rPr>
      </w:pPr>
      <w:r>
        <w:rPr>
          <w:rFonts w:ascii="Arial" w:cs="Arial" w:eastAsia="Arial" w:hAnsi="Arial"/>
          <w:sz w:val="17"/>
          <w:szCs w:val="17"/>
          <w:color w:val="auto"/>
        </w:rPr>
        <w:t>recorded proportionately share of loss of RMB3,000 and RMB8,000 for the year ended December 31, 2019 and 2020, respectively. The Group made other investments of RMB12,000 in Qingdao Qingle Venture Capital Partnership as its limited partner, holding equity interest of 11.95% during the year ended December 31, 2020, and accounted as an equity method investee.</w:t>
      </w:r>
    </w:p>
    <w:p>
      <w:pPr>
        <w:spacing w:after="0" w:line="78"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Below are primarily equity investments that are in substance common stock and the Group does not have significant influence or control. Since these investees are private companies that do not have readily determinable fair value, the Group accounted these investments under measurement alternative method: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20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As of December 31,</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8240" w:type="dxa"/>
            <w:vAlign w:val="bottom"/>
          </w:tcPr>
          <w:p>
            <w:pPr>
              <w:spacing w:after="0"/>
              <w:rPr>
                <w:sz w:val="13"/>
                <w:szCs w:val="13"/>
                <w:color w:val="auto"/>
              </w:rPr>
            </w:pPr>
          </w:p>
        </w:tc>
        <w:tc>
          <w:tcPr>
            <w:tcW w:w="660" w:type="dxa"/>
            <w:vAlign w:val="bottom"/>
            <w:tcBorders>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6"/>
        </w:trPr>
        <w:tc>
          <w:tcPr>
            <w:tcW w:w="8240" w:type="dxa"/>
            <w:vAlign w:val="bottom"/>
          </w:tcPr>
          <w:p>
            <w:pPr>
              <w:spacing w:after="0"/>
              <w:rPr>
                <w:sz w:val="13"/>
                <w:szCs w:val="13"/>
                <w:color w:val="auto"/>
              </w:rPr>
            </w:pPr>
          </w:p>
        </w:tc>
        <w:tc>
          <w:tcPr>
            <w:tcW w:w="660" w:type="dxa"/>
            <w:vAlign w:val="bottom"/>
          </w:tcPr>
          <w:p>
            <w:pPr>
              <w:jc w:val="right"/>
              <w:ind w:right="75"/>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gridSpan w:val="2"/>
          </w:tcPr>
          <w:p>
            <w:pPr>
              <w:spacing w:after="0"/>
              <w:rPr>
                <w:sz w:val="13"/>
                <w:szCs w:val="13"/>
                <w:color w:val="auto"/>
              </w:rPr>
            </w:pPr>
          </w:p>
        </w:tc>
        <w:tc>
          <w:tcPr>
            <w:tcW w:w="74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2"/>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Jinsong (Shanghai) Network Information Technology CO. Ltd (“Jinsong”) (1)</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26,430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36,800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36,800</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Manak Waste Management Pvt Ltd (“Manak”)</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13,749</w:t>
            </w:r>
          </w:p>
        </w:tc>
        <w:tc>
          <w:tcPr>
            <w:tcW w:w="2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17,570</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16,507</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Trocafone, Inc. (“Trocafane”)</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13,749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14,057</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13,206</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Chongqing Tianji Cloud Service Technology Co., Ltd (“Tianjiyun”)</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9,000</w:t>
            </w:r>
          </w:p>
        </w:tc>
        <w:tc>
          <w:tcPr>
            <w:tcW w:w="2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9,000</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9,000</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AiFenLei Global Co., Ltd. (“AiFenLei”) (2)</w:t>
            </w:r>
          </w:p>
        </w:tc>
        <w:tc>
          <w:tcPr>
            <w:tcW w:w="9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Others</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13,664</w:t>
            </w:r>
          </w:p>
        </w:tc>
        <w:tc>
          <w:tcPr>
            <w:tcW w:w="220" w:type="dxa"/>
            <w:vAlign w:val="bottom"/>
          </w:tcPr>
          <w:p>
            <w:pPr>
              <w:spacing w:after="0"/>
              <w:rPr>
                <w:sz w:val="17"/>
                <w:szCs w:val="17"/>
                <w:color w:val="auto"/>
              </w:rPr>
            </w:pPr>
          </w:p>
        </w:tc>
        <w:tc>
          <w:tcPr>
            <w:tcW w:w="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21,164</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21,164</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w:t>
            </w:r>
          </w:p>
        </w:tc>
        <w:tc>
          <w:tcPr>
            <w:tcW w:w="9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(5,450)</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(10,164)</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(13,664)</w:t>
            </w:r>
          </w:p>
        </w:tc>
      </w:tr>
      <w:tr>
        <w:trPr>
          <w:trHeight w:val="20"/>
        </w:trPr>
        <w:tc>
          <w:tcPr>
            <w:tcW w:w="8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8240" w:type="dxa"/>
            <w:vAlign w:val="bottom"/>
          </w:tcPr>
          <w:p>
            <w:pPr>
              <w:spacing w:after="0"/>
              <w:rPr>
                <w:sz w:val="20"/>
                <w:szCs w:val="20"/>
                <w:color w:val="auto"/>
              </w:rPr>
            </w:pPr>
            <w:r>
              <w:rPr>
                <w:rFonts w:ascii="Arial" w:cs="Arial" w:eastAsia="Arial" w:hAnsi="Arial"/>
                <w:sz w:val="18"/>
                <w:szCs w:val="18"/>
                <w:color w:val="auto"/>
              </w:rPr>
              <w:t>Total investments accounted for under measurement alternative method</w:t>
            </w:r>
          </w:p>
        </w:tc>
        <w:tc>
          <w:tcPr>
            <w:tcW w:w="660" w:type="dxa"/>
            <w:vAlign w:val="bottom"/>
          </w:tcPr>
          <w:p>
            <w:pPr>
              <w:jc w:val="right"/>
              <w:spacing w:after="0"/>
              <w:rPr>
                <w:sz w:val="20"/>
                <w:szCs w:val="20"/>
                <w:color w:val="auto"/>
              </w:rPr>
            </w:pPr>
            <w:r>
              <w:rPr>
                <w:rFonts w:ascii="Arial" w:cs="Arial" w:eastAsia="Arial" w:hAnsi="Arial"/>
                <w:sz w:val="18"/>
                <w:szCs w:val="18"/>
                <w:color w:val="auto"/>
              </w:rPr>
              <w:t>71,142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88,427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83,013</w:t>
            </w:r>
          </w:p>
        </w:tc>
      </w:tr>
      <w:tr>
        <w:trPr>
          <w:trHeight w:val="20"/>
        </w:trPr>
        <w:tc>
          <w:tcPr>
            <w:tcW w:w="8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60" w:firstLine="551"/>
        <w:spacing w:after="0" w:line="246" w:lineRule="auto"/>
        <w:rPr>
          <w:sz w:val="20"/>
          <w:szCs w:val="20"/>
          <w:color w:val="auto"/>
        </w:rPr>
      </w:pPr>
      <w:r>
        <w:rPr>
          <w:rFonts w:ascii="Arial" w:cs="Arial" w:eastAsia="Arial" w:hAnsi="Arial"/>
          <w:sz w:val="18"/>
          <w:szCs w:val="18"/>
          <w:color w:val="auto"/>
        </w:rPr>
        <w:t>For years ended December 31, 2018, 2019 and 2020, the Group recorded impairment loss of RMB5,450, RMB4,714 and RMB3,500, respectively, for these alternative measurement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660" w:right="140" w:hanging="544"/>
        <w:spacing w:after="0" w:line="234"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September 2017, the Group disposed of its mobile phone rental platform to an entity jointly formed by shareholder of the Group and a former employee, and retained 30% shareholding with no board representation. The Group determined it did not have the ability to exercise significant influence over Jinsong and accounted for it under alternative measurement. In 2019, the Group made an additional RMB10,370 investment in Jinsong.</w:t>
      </w:r>
    </w:p>
    <w:p>
      <w:pPr>
        <w:spacing w:after="0" w:line="2" w:lineRule="exact"/>
        <w:rPr>
          <w:rFonts w:ascii="Arial" w:cs="Arial" w:eastAsia="Arial" w:hAnsi="Arial"/>
          <w:sz w:val="18"/>
          <w:szCs w:val="18"/>
          <w:color w:val="auto"/>
        </w:rPr>
      </w:pPr>
    </w:p>
    <w:p>
      <w:pPr>
        <w:ind w:left="660" w:right="60" w:hanging="544"/>
        <w:spacing w:after="0" w:line="238"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July 2019, the Group disposed of its household waste recycling business (“AiFenLei”) at zero consideration to the Founder and retained 52.5% economic rights without any voting or significant participating rights. The Group recognized RMB9,259 of loss upon disposal. The retained interest was accounted for under alternative measurement with minimal value at the time of the disposal due to the significant uncertainty associated with AiFenLei.</w:t>
      </w:r>
    </w:p>
    <w:p>
      <w:pPr>
        <w:spacing w:after="0" w:line="331" w:lineRule="exact"/>
        <w:rPr>
          <w:sz w:val="20"/>
          <w:szCs w:val="20"/>
          <w:color w:val="auto"/>
        </w:rPr>
      </w:pPr>
    </w:p>
    <w:p>
      <w:pPr>
        <w:ind w:left="660" w:hanging="544"/>
        <w:spacing w:after="0"/>
        <w:tabs>
          <w:tab w:leader="none" w:pos="6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Changes in the carrying amount of goodwill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156"/>
        </w:trPr>
        <w:tc>
          <w:tcPr>
            <w:tcW w:w="448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1040" w:type="dxa"/>
            <w:vAlign w:val="bottom"/>
            <w:tcBorders>
              <w:top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2018</w:t>
            </w:r>
          </w:p>
        </w:tc>
        <w:tc>
          <w:tcPr>
            <w:tcW w:w="54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9"/>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Acquisition of Paipai</w:t>
            </w:r>
          </w:p>
        </w:tc>
        <w:tc>
          <w:tcPr>
            <w:tcW w:w="6540" w:type="dxa"/>
            <w:vAlign w:val="bottom"/>
            <w:gridSpan w:val="3"/>
          </w:tcPr>
          <w:p>
            <w:pPr>
              <w:jc w:val="right"/>
              <w:ind w:right="80"/>
              <w:spacing w:after="0"/>
              <w:rPr>
                <w:sz w:val="20"/>
                <w:szCs w:val="20"/>
                <w:color w:val="auto"/>
              </w:rPr>
            </w:pPr>
            <w:r>
              <w:rPr>
                <w:rFonts w:ascii="Arial" w:cs="Arial" w:eastAsia="Arial" w:hAnsi="Arial"/>
                <w:sz w:val="18"/>
                <w:szCs w:val="18"/>
                <w:color w:val="auto"/>
              </w:rPr>
              <w:t>1,799,529</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acquisition</w:t>
            </w:r>
          </w:p>
        </w:tc>
        <w:tc>
          <w:tcPr>
            <w:tcW w:w="65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3,886</w:t>
            </w:r>
          </w:p>
        </w:tc>
      </w:tr>
      <w:tr>
        <w:trPr>
          <w:trHeight w:val="210"/>
        </w:trPr>
        <w:tc>
          <w:tcPr>
            <w:tcW w:w="4480" w:type="dxa"/>
            <w:vAlign w:val="bottom"/>
          </w:tcPr>
          <w:p>
            <w:pPr>
              <w:spacing w:after="0"/>
              <w:rPr>
                <w:sz w:val="20"/>
                <w:szCs w:val="20"/>
                <w:color w:val="auto"/>
              </w:rPr>
            </w:pPr>
            <w:r>
              <w:rPr>
                <w:rFonts w:ascii="Arial" w:cs="Arial" w:eastAsia="Arial" w:hAnsi="Arial"/>
                <w:sz w:val="18"/>
                <w:szCs w:val="18"/>
                <w:b w:val="1"/>
                <w:bCs w:val="1"/>
                <w:color w:val="auto"/>
              </w:rPr>
              <w:t>Balance as of December 31, 2019 and 2020</w:t>
            </w:r>
          </w:p>
        </w:tc>
        <w:tc>
          <w:tcPr>
            <w:tcW w:w="54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1,803,415</w:t>
            </w:r>
          </w:p>
        </w:tc>
        <w:tc>
          <w:tcPr>
            <w:tcW w:w="8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6540" w:type="dxa"/>
            <w:vAlign w:val="bottom"/>
            <w:gridSpan w:val="3"/>
          </w:tcPr>
          <w:p>
            <w:pPr>
              <w:jc w:val="right"/>
              <w:ind w:right="5340"/>
              <w:spacing w:after="0"/>
              <w:rPr>
                <w:sz w:val="20"/>
                <w:szCs w:val="20"/>
                <w:color w:val="auto"/>
              </w:rPr>
            </w:pPr>
            <w:r>
              <w:rPr>
                <w:rFonts w:ascii="Arial" w:cs="Arial" w:eastAsia="Arial" w:hAnsi="Arial"/>
                <w:sz w:val="18"/>
                <w:szCs w:val="18"/>
                <w:color w:val="auto"/>
              </w:rPr>
              <w:t>F-32</w:t>
            </w:r>
          </w:p>
        </w:tc>
      </w:tr>
    </w:tbl>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Goodwill—(Continued)</w:t>
      </w:r>
    </w:p>
    <w:p>
      <w:pPr>
        <w:spacing w:after="0" w:line="13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There were no change in the carrying amount of goodwill for the years ended December 31, 2019 and 2020.</w:t>
      </w:r>
    </w:p>
    <w:p>
      <w:pPr>
        <w:spacing w:after="0" w:line="338" w:lineRule="exact"/>
        <w:rPr>
          <w:rFonts w:ascii="Arial" w:cs="Arial" w:eastAsia="Arial" w:hAnsi="Arial"/>
          <w:sz w:val="18"/>
          <w:szCs w:val="18"/>
          <w:b w:val="1"/>
          <w:bCs w:val="1"/>
          <w:color w:val="auto"/>
        </w:rPr>
      </w:pPr>
    </w:p>
    <w:p>
      <w:pPr>
        <w:ind w:left="660" w:hanging="544"/>
        <w:spacing w:after="0"/>
        <w:tabs>
          <w:tab w:leader="none" w:pos="6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126"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As of December 31, 2018, 2019 and 2020, the Group had unused one-year revolving credit facilities with several Chinese commercial banks to borrow up to RMB40,000, RMB112,017 and RMB33,708 respectively for working capital.</w:t>
      </w:r>
    </w:p>
    <w:p>
      <w:pPr>
        <w:spacing w:after="0" w:line="197"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In 2018, the Group borrowed RMB239,983 at the weighted average interest rate of 7.00% per annum. The Group repaid the short-term borrowings in the amount of RMB172,413.</w:t>
      </w:r>
    </w:p>
    <w:p>
      <w:pPr>
        <w:spacing w:after="0" w:line="197"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In 2019, the Group borrowed RMB376,383 at the weighted average interest rate of 4.15% per annum. The Group repaid the short-term borrowings in the amount of RMB348,383.</w:t>
      </w:r>
    </w:p>
    <w:p>
      <w:pPr>
        <w:spacing w:after="0" w:line="197"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In 2020, the Group borrowed RMB764,143 at the weighted average interest rate of 5.33% per annum. The Group repaid the short-term bank borrowings in the amount of RMB592,375.</w:t>
      </w:r>
    </w:p>
    <w:p>
      <w:pPr>
        <w:spacing w:after="0" w:line="197"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In 2020, the Group entered into a US$ denominated two-year loan agreement with an independent third party for RMB65,200 at an interest rate of 9% per annum with current portion of RMB29,906 as of December 31, 2020 and repaid RMB2,719 during the year.</w:t>
      </w:r>
    </w:p>
    <w:p>
      <w:pPr>
        <w:spacing w:after="0" w:line="197"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Group is subject to certain financial covenants under its credit facilities and the Group was in compliance with all of its debt covenants for the years ended December 31, 2018, 2019 and 2020.</w:t>
      </w:r>
    </w:p>
    <w:p>
      <w:pPr>
        <w:spacing w:after="0" w:line="323" w:lineRule="exact"/>
        <w:rPr>
          <w:sz w:val="20"/>
          <w:szCs w:val="20"/>
          <w:color w:val="auto"/>
        </w:rPr>
      </w:pPr>
    </w:p>
    <w:p>
      <w:pPr>
        <w:ind w:left="660" w:hanging="544"/>
        <w:spacing w:after="0"/>
        <w:tabs>
          <w:tab w:leader="none" w:pos="6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1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8140" w:type="dxa"/>
            <w:vAlign w:val="bottom"/>
          </w:tcPr>
          <w:p>
            <w:pPr>
              <w:spacing w:after="0"/>
              <w:rPr>
                <w:sz w:val="13"/>
                <w:szCs w:val="13"/>
                <w:color w:val="auto"/>
              </w:rPr>
            </w:pPr>
          </w:p>
        </w:tc>
        <w:tc>
          <w:tcPr>
            <w:tcW w:w="80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8140" w:type="dxa"/>
            <w:vAlign w:val="bottom"/>
          </w:tcPr>
          <w:p>
            <w:pPr>
              <w:spacing w:after="0"/>
              <w:rPr>
                <w:sz w:val="13"/>
                <w:szCs w:val="13"/>
                <w:color w:val="auto"/>
              </w:rPr>
            </w:pPr>
          </w:p>
        </w:tc>
        <w:tc>
          <w:tcPr>
            <w:tcW w:w="80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84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Deposits from business partner</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3,654</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36,372</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47,399</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Contract liabilities</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28,383</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25,606</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33,884</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tax payable</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13,476</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21,680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45,507</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Others (1)</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97,744</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83,991</w:t>
            </w: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269,822</w:t>
            </w:r>
          </w:p>
        </w:tc>
      </w:tr>
      <w:tr>
        <w:trPr>
          <w:trHeight w:val="27"/>
        </w:trPr>
        <w:tc>
          <w:tcPr>
            <w:tcW w:w="8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143,257</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167,649</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396,612</w:t>
            </w:r>
          </w:p>
        </w:tc>
      </w:tr>
      <w:tr>
        <w:trPr>
          <w:trHeight w:val="20"/>
        </w:trPr>
        <w:tc>
          <w:tcPr>
            <w:tcW w:w="8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660" w:right="120" w:hanging="544"/>
        <w:spacing w:after="0" w:line="238"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balance as of December 31, 2020 included RMB150,000 prepaid subscription received by the Group in September and November 2020 from certain investors subscribing for Series E convertible redeemable preferred shares. The payment was in the legal form of a loan agreement but did not have a maturity date or bear interest. The issuance of the preferred shares is contingent upon the investors obtaining the approval of Overseas Direct Investment (the “ODI”), otherwise the amount will be refunded to the investors.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Value added tax (“VAT”)</w:t>
      </w:r>
    </w:p>
    <w:p>
      <w:pPr>
        <w:spacing w:after="0" w:line="126"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For sales of pre-owned consumer electronic products, the Group is subject to the VAT levy rate of 3% under the simplified method and is exempted by 1% in comply with relevant PRC VAT regulations of CaiShui [2009] No.9 and CaiShui [2014] No.57. The Group is subject to statutory VAT rate of 17% prior to May 1, 2018, 16% from May 1, 2018 to March 31, 2019 and 13% from April 1, 2019 for sales of other products in the PRC.</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is subject to VAT at the rate of 6% for service revenue.</w:t>
      </w:r>
    </w:p>
    <w:p>
      <w:pPr>
        <w:spacing w:after="0" w:line="298" w:lineRule="exact"/>
        <w:rPr>
          <w:sz w:val="20"/>
          <w:szCs w:val="20"/>
          <w:color w:val="auto"/>
        </w:rPr>
      </w:pPr>
    </w:p>
    <w:p>
      <w:pPr>
        <w:ind w:left="660" w:right="9180" w:hanging="544"/>
        <w:spacing w:after="0" w:line="396" w:lineRule="auto"/>
        <w:tabs>
          <w:tab w:leader="none" w:pos="329" w:val="left"/>
        </w:tabs>
        <w:numPr>
          <w:ilvl w:val="0"/>
          <w:numId w:val="1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i w:val="1"/>
          <w:iCs w:val="1"/>
          <w:color w:val="auto"/>
        </w:rPr>
        <w:t>Cayman Islands</w:t>
      </w:r>
    </w:p>
    <w:p>
      <w:pPr>
        <w:spacing w:after="0" w:line="6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Under the current laws of the Cayman Islands, the Company and its subsidiaries incorporated in the Cayman Islands are not subject to tax on income or capital gain. Additionally, the Cayman Islands does not impose a withholding tax on payments of dividends to shareholders.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Hong Kong</w:t>
      </w:r>
    </w:p>
    <w:p>
      <w:pPr>
        <w:spacing w:after="0" w:line="230" w:lineRule="exact"/>
        <w:rPr>
          <w:sz w:val="20"/>
          <w:szCs w:val="20"/>
          <w:color w:val="auto"/>
        </w:rPr>
      </w:pPr>
    </w:p>
    <w:p>
      <w:pPr>
        <w:ind w:left="120" w:right="120" w:firstLine="551"/>
        <w:spacing w:after="0" w:line="237" w:lineRule="auto"/>
        <w:rPr>
          <w:sz w:val="20"/>
          <w:szCs w:val="20"/>
          <w:color w:val="auto"/>
        </w:rPr>
      </w:pPr>
      <w:r>
        <w:rPr>
          <w:rFonts w:ascii="Arial" w:cs="Arial" w:eastAsia="Arial" w:hAnsi="Arial"/>
          <w:sz w:val="18"/>
          <w:szCs w:val="18"/>
          <w:color w:val="auto"/>
        </w:rPr>
        <w:t>Under the current Hong Kong Inland Revenue Ordinance, the Company’s subsidiaries incorporated in Hong Kong are subject to 16.5% Hong Kong profit tax on its taxable income generated from operations in Hong Kong for the year of assessment 2017/2018. Commencing from the year of assessment 2018/2019, the first Hong Kong dollars (“HKD”) 2 million of profits earned by its subsidiaries incorporated in Hong Kong will be taxed at half the current tax rate (i.e., 8.25%) while the remaining profits will continue to be taxed at the existing 16.5% tax rate. Under the Hong Kong tax laws, the Company is exempted from the Hong Kong income tax on its foreign-derived income. Additionally, payments of dividends by the subsidiaries incorporated in Hong Kong to the Company are not subject to any Hong Kong withholding tax.</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Mainland China</w:t>
      </w:r>
    </w:p>
    <w:p>
      <w:pPr>
        <w:spacing w:after="0" w:line="230"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Under the PRC Enterprise Income Tax Law (the “EIT Law”), the standard enterprise income tax rate for domestic enterprises and foreign invested enterprises is 25%. All of the Group’s PRC subsidiaries, consolidated VIE and VIE’s subsidiaries are subject to the statutory income tax rate of 25% except for Shanghai Yueyee which obtained qualification as High and New Technologies Enterprises, or HNTE in 2018 and was entitled to a preferential EIT rate of 15% from 2018 to 2020.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by tax jurisdictions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8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52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526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80" w:type="dxa"/>
            <w:vAlign w:val="bottom"/>
          </w:tcPr>
          <w:p>
            <w:pPr>
              <w:jc w:val="right"/>
              <w:ind w:right="141"/>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800" w:type="dxa"/>
            <w:vAlign w:val="bottom"/>
          </w:tcPr>
          <w:p>
            <w:pPr>
              <w:jc w:val="right"/>
              <w:ind w:right="157"/>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82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Mainland China operations</w:t>
            </w:r>
          </w:p>
        </w:tc>
        <w:tc>
          <w:tcPr>
            <w:tcW w:w="39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257,560</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722,687</w:t>
            </w: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456,596</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(Income) loss from non-Mainland China operations</w:t>
            </w:r>
          </w:p>
        </w:tc>
        <w:tc>
          <w:tcPr>
            <w:tcW w:w="288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(48,196)</w:t>
            </w: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10,122</w:t>
            </w:r>
          </w:p>
        </w:tc>
        <w:tc>
          <w:tcPr>
            <w:tcW w:w="9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53,816</w:t>
            </w:r>
          </w:p>
        </w:tc>
      </w:tr>
      <w:tr>
        <w:trPr>
          <w:trHeight w:val="27"/>
        </w:trPr>
        <w:tc>
          <w:tcPr>
            <w:tcW w:w="5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5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Total loss before tax and share of loss of equity-method investees</w:t>
            </w:r>
          </w:p>
        </w:tc>
        <w:tc>
          <w:tcPr>
            <w:tcW w:w="28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209,364</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732,809</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510,412</w:t>
            </w:r>
          </w:p>
        </w:tc>
      </w:tr>
      <w:tr>
        <w:trPr>
          <w:trHeight w:val="20"/>
        </w:trPr>
        <w:tc>
          <w:tcPr>
            <w:tcW w:w="5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3900" w:type="dxa"/>
            <w:vAlign w:val="bottom"/>
            <w:gridSpan w:val="3"/>
          </w:tcPr>
          <w:p>
            <w:pPr>
              <w:jc w:val="right"/>
              <w:ind w:right="3480"/>
              <w:spacing w:after="0"/>
              <w:rPr>
                <w:sz w:val="20"/>
                <w:szCs w:val="20"/>
                <w:color w:val="auto"/>
              </w:rPr>
            </w:pPr>
            <w:r>
              <w:rPr>
                <w:rFonts w:ascii="Arial" w:cs="Arial" w:eastAsia="Arial" w:hAnsi="Arial"/>
                <w:sz w:val="18"/>
                <w:szCs w:val="18"/>
                <w:color w:val="auto"/>
              </w:rPr>
              <w:t>F-34</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8560" w:hanging="4"/>
        <w:spacing w:after="0" w:line="403" w:lineRule="auto"/>
        <w:tabs>
          <w:tab w:leader="none" w:pos="66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Taxation—(Continued) </w:t>
      </w:r>
      <w:r>
        <w:rPr>
          <w:rFonts w:ascii="Arial" w:cs="Arial" w:eastAsia="Arial" w:hAnsi="Arial"/>
          <w:sz w:val="17"/>
          <w:szCs w:val="17"/>
          <w:b w:val="1"/>
          <w:bCs w:val="1"/>
          <w:i w:val="1"/>
          <w:iCs w:val="1"/>
          <w:color w:val="auto"/>
        </w:rPr>
        <w:t>b) Income tax—(Continued)</w:t>
      </w:r>
    </w:p>
    <w:p>
      <w:pPr>
        <w:ind w:left="120" w:right="520" w:firstLine="551"/>
        <w:spacing w:after="0" w:line="246" w:lineRule="auto"/>
        <w:rPr>
          <w:sz w:val="20"/>
          <w:szCs w:val="20"/>
          <w:color w:val="auto"/>
        </w:rPr>
      </w:pPr>
      <w:r>
        <w:rPr>
          <w:rFonts w:ascii="Arial" w:cs="Arial" w:eastAsia="Arial" w:hAnsi="Arial"/>
          <w:sz w:val="18"/>
          <w:szCs w:val="18"/>
          <w:color w:val="auto"/>
        </w:rPr>
        <w:t>The reconciliation of total tax expenses computed by applying the respective statutory income tax rate to pre-tax income is as follows:</w:t>
      </w:r>
    </w:p>
    <w:p>
      <w:pPr>
        <w:spacing w:after="0" w:line="197"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The current and deferred portion of income tax expenses included in the consolidated statements of operations and comprehensive loss are as follows:</w:t>
      </w:r>
    </w:p>
    <w:p>
      <w:pPr>
        <w:spacing w:after="0" w:line="211"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8890</wp:posOffset>
            </wp:positionV>
            <wp:extent cx="159448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9" w:lineRule="exact"/>
        <w:rPr>
          <w:sz w:val="20"/>
          <w:szCs w:val="20"/>
          <w:color w:val="auto"/>
        </w:rPr>
      </w:pPr>
    </w:p>
    <w:p>
      <w:pPr>
        <w:ind w:left="8620"/>
        <w:spacing w:after="0"/>
        <w:tabs>
          <w:tab w:leader="none" w:pos="9480" w:val="left"/>
          <w:tab w:leader="none" w:pos="104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0</wp:posOffset>
            </wp:positionV>
            <wp:extent cx="159448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8620"/>
        <w:spacing w:after="0"/>
        <w:tabs>
          <w:tab w:leader="none" w:pos="9480" w:val="left"/>
          <w:tab w:leader="none" w:pos="1044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p>
    <w:tbl>
      <w:tblPr>
        <w:tblLayout w:type="fixed"/>
        <w:tblInd w:w="120" w:type="dxa"/>
        <w:tblCellMar>
          <w:top w:w="0" w:type="dxa"/>
          <w:left w:w="0" w:type="dxa"/>
          <w:bottom w:w="0" w:type="dxa"/>
          <w:right w:w="0" w:type="dxa"/>
        </w:tblCellMar>
      </w:tblPr>
      <w:tr>
        <w:trPr>
          <w:trHeight w:val="203"/>
        </w:trPr>
        <w:tc>
          <w:tcPr>
            <w:tcW w:w="8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Current tax expenses</w:t>
            </w:r>
          </w:p>
        </w:tc>
        <w:tc>
          <w:tcPr>
            <w:tcW w:w="82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Deferred tax benefits</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(1,922)</w:t>
            </w: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(30,120)</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(47,320)</w:t>
            </w:r>
          </w:p>
        </w:tc>
      </w:tr>
      <w:tr>
        <w:trPr>
          <w:trHeight w:val="27"/>
        </w:trPr>
        <w:tc>
          <w:tcPr>
            <w:tcW w:w="8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income tax expense (benefit)</w:t>
            </w: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(1,922)</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(30,120)</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(47,320)</w:t>
            </w:r>
          </w:p>
        </w:tc>
      </w:tr>
      <w:tr>
        <w:trPr>
          <w:trHeight w:val="20"/>
        </w:trPr>
        <w:tc>
          <w:tcPr>
            <w:tcW w:w="8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780" w:firstLine="551"/>
        <w:spacing w:after="0" w:line="274" w:lineRule="auto"/>
        <w:rPr>
          <w:sz w:val="20"/>
          <w:szCs w:val="20"/>
          <w:color w:val="auto"/>
        </w:rPr>
      </w:pPr>
      <w:r>
        <w:rPr>
          <w:rFonts w:ascii="Arial" w:cs="Arial" w:eastAsia="Arial" w:hAnsi="Arial"/>
          <w:sz w:val="17"/>
          <w:szCs w:val="17"/>
          <w:color w:val="auto"/>
        </w:rPr>
        <w:t>The Group did not incur any current income tax expenses for the years ended December 31, 2018, 2019 and 2020. The reconciliation of total tax expenses computed by applying the respective statutory income tax rate to pre-tax income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28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Years ended December 31,</w:t>
            </w:r>
          </w:p>
        </w:tc>
      </w:tr>
      <w:tr>
        <w:trPr>
          <w:trHeight w:val="156"/>
        </w:trPr>
        <w:tc>
          <w:tcPr>
            <w:tcW w:w="8140" w:type="dxa"/>
            <w:vAlign w:val="bottom"/>
          </w:tcPr>
          <w:p>
            <w:pPr>
              <w:spacing w:after="0"/>
              <w:rPr>
                <w:sz w:val="13"/>
                <w:szCs w:val="13"/>
                <w:color w:val="auto"/>
              </w:rPr>
            </w:pPr>
          </w:p>
        </w:tc>
        <w:tc>
          <w:tcPr>
            <w:tcW w:w="76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r>
      <w:tr>
        <w:trPr>
          <w:trHeight w:val="155"/>
        </w:trPr>
        <w:tc>
          <w:tcPr>
            <w:tcW w:w="8140" w:type="dxa"/>
            <w:vAlign w:val="bottom"/>
          </w:tcPr>
          <w:p>
            <w:pPr>
              <w:spacing w:after="0"/>
              <w:rPr>
                <w:sz w:val="13"/>
                <w:szCs w:val="13"/>
                <w:color w:val="auto"/>
              </w:rPr>
            </w:pPr>
          </w:p>
        </w:tc>
        <w:tc>
          <w:tcPr>
            <w:tcW w:w="76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7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74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3"/>
                <w:szCs w:val="13"/>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PRC income tax rate</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25.00%</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25.00%</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25.00%</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Expenses not deductible for tax purposes</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(2.31%)</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(1.03%)</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(2.75%)</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Super deduction on technology and content expenses</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3.97%</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2.87%</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3.52%</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Effect of preferential tax rate for high-tech enterprises</w:t>
            </w: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0.23%</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(2.69%)</w:t>
            </w: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(6.16%)</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different tax rates of a subsidiary operating in other jurisdiction</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6.80%</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(0.12%)</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(1.33%)</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Future tax rate change</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(1.48%)</w:t>
            </w: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0.20%</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(31.29%)</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(20.03%)</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(9.42%)</w:t>
            </w: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color w:val="auto"/>
              </w:rPr>
              <w:t>True up</w:t>
            </w:r>
          </w:p>
        </w:tc>
        <w:tc>
          <w:tcPr>
            <w:tcW w:w="76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0.11%</w:t>
            </w: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0.21%</w:t>
            </w:r>
          </w:p>
        </w:tc>
      </w:tr>
      <w:tr>
        <w:trPr>
          <w:trHeight w:val="27"/>
        </w:trPr>
        <w:tc>
          <w:tcPr>
            <w:tcW w:w="8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0.92%</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4.11%</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9.27%</w:t>
            </w:r>
          </w:p>
        </w:tc>
      </w:tr>
      <w:tr>
        <w:trPr>
          <w:trHeight w:val="20"/>
        </w:trPr>
        <w:tc>
          <w:tcPr>
            <w:tcW w:w="8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0" w:firstLine="551"/>
        <w:spacing w:after="0" w:line="238" w:lineRule="auto"/>
        <w:rPr>
          <w:sz w:val="20"/>
          <w:szCs w:val="20"/>
          <w:color w:val="auto"/>
        </w:rPr>
      </w:pPr>
      <w:r>
        <w:rPr>
          <w:rFonts w:ascii="Arial" w:cs="Arial" w:eastAsia="Arial" w:hAnsi="Arial"/>
          <w:sz w:val="18"/>
          <w:szCs w:val="18"/>
          <w:color w:val="auto"/>
        </w:rPr>
        <w:t>If the preferential tax rate granted to an entity of the Group were not available, the Group’s income tax benefit would have increased by RMB2,310, RMB19,037, and RMB31,460 for the years ended December 31, 2018, 2019 and 2020, respectively. The basic and diluted net loss per share attributable to the Company would decrease by RMB0.12, RMB1.01, and RMB1.68 for the years ended December 31, 2018, 2019 and 2020, respectively.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420" w:type="dxa"/>
            <w:vAlign w:val="bottom"/>
          </w:tcPr>
          <w:p>
            <w:pPr>
              <w:ind w:left="140"/>
              <w:spacing w:after="0"/>
              <w:rPr>
                <w:sz w:val="20"/>
                <w:szCs w:val="20"/>
                <w:color w:val="auto"/>
              </w:rPr>
            </w:pPr>
            <w:r>
              <w:rPr>
                <w:rFonts w:ascii="Arial" w:cs="Arial" w:eastAsia="Arial" w:hAnsi="Arial"/>
                <w:sz w:val="18"/>
                <w:szCs w:val="18"/>
                <w:b w:val="1"/>
                <w:bCs w:val="1"/>
                <w:color w:val="auto"/>
              </w:rPr>
              <w:t>Taxation—(Continued)</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 Income tax—(Continued)</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Deferred tax assets and deferred tax liabilities:</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840" w:type="dxa"/>
            <w:vAlign w:val="bottom"/>
            <w:tcBorders>
              <w:bottom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820" w:type="dxa"/>
            <w:vAlign w:val="bottom"/>
            <w:tcBorders>
              <w:bottom w:val="single" w:sz="8" w:color="auto"/>
            </w:tcBorders>
            <w:gridSpan w:val="2"/>
          </w:tcPr>
          <w:p>
            <w:pPr>
              <w:jc w:val="right"/>
              <w:ind w:right="18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8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82"/>
              <w:spacing w:after="0" w:line="155"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assets</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Tax loss carried forward</w:t>
            </w:r>
          </w:p>
        </w:tc>
        <w:tc>
          <w:tcPr>
            <w:tcW w:w="1120" w:type="dxa"/>
            <w:vAlign w:val="bottom"/>
            <w:gridSpan w:val="3"/>
          </w:tcPr>
          <w:p>
            <w:pPr>
              <w:jc w:val="right"/>
              <w:ind w:right="208"/>
              <w:spacing w:after="0" w:line="202" w:lineRule="exact"/>
              <w:rPr>
                <w:sz w:val="20"/>
                <w:szCs w:val="20"/>
                <w:color w:val="auto"/>
              </w:rPr>
            </w:pPr>
            <w:r>
              <w:rPr>
                <w:rFonts w:ascii="Arial" w:cs="Arial" w:eastAsia="Arial" w:hAnsi="Arial"/>
                <w:sz w:val="18"/>
                <w:szCs w:val="18"/>
                <w:color w:val="auto"/>
              </w:rPr>
              <w:t>106,222</w:t>
            </w:r>
          </w:p>
        </w:tc>
        <w:tc>
          <w:tcPr>
            <w:tcW w:w="10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229,955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283,378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Deductible temporary differences</w:t>
            </w:r>
          </w:p>
        </w:tc>
        <w:tc>
          <w:tcPr>
            <w:tcW w:w="1120" w:type="dxa"/>
            <w:vAlign w:val="bottom"/>
            <w:tcBorders>
              <w:right w:val="single" w:sz="8" w:color="CCEEFF"/>
            </w:tcBorders>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12,717</w:t>
            </w:r>
          </w:p>
        </w:tc>
        <w:tc>
          <w:tcPr>
            <w:tcW w:w="1000" w:type="dxa"/>
            <w:vAlign w:val="bottom"/>
            <w:tcBorders>
              <w:left w:val="single" w:sz="8" w:color="CCEEFF"/>
            </w:tcBorders>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38,481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32,982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Allowance for doubtful receivables</w:t>
            </w:r>
          </w:p>
        </w:tc>
        <w:tc>
          <w:tcPr>
            <w:tcW w:w="1120" w:type="dxa"/>
            <w:vAlign w:val="bottom"/>
            <w:gridSpan w:val="3"/>
          </w:tcPr>
          <w:p>
            <w:pPr>
              <w:jc w:val="right"/>
              <w:ind w:right="208"/>
              <w:spacing w:after="0" w:line="202" w:lineRule="exact"/>
              <w:rPr>
                <w:sz w:val="20"/>
                <w:szCs w:val="20"/>
                <w:color w:val="auto"/>
              </w:rPr>
            </w:pPr>
            <w:r>
              <w:rPr>
                <w:rFonts w:ascii="Arial" w:cs="Arial" w:eastAsia="Arial" w:hAnsi="Arial"/>
                <w:sz w:val="18"/>
                <w:szCs w:val="18"/>
                <w:color w:val="auto"/>
              </w:rPr>
              <w:t>167</w:t>
            </w:r>
          </w:p>
        </w:tc>
        <w:tc>
          <w:tcPr>
            <w:tcW w:w="10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1120" w:type="dxa"/>
            <w:vAlign w:val="bottom"/>
            <w:tcBorders>
              <w:right w:val="single" w:sz="8" w:color="CCEEFF"/>
            </w:tcBorders>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119,106</w:t>
            </w:r>
          </w:p>
        </w:tc>
        <w:tc>
          <w:tcPr>
            <w:tcW w:w="1000" w:type="dxa"/>
            <w:vAlign w:val="bottom"/>
            <w:tcBorders>
              <w:left w:val="single" w:sz="8" w:color="CCEEFF"/>
            </w:tcBorders>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268,534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316,360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Less: valuation allowance</w:t>
            </w:r>
          </w:p>
        </w:tc>
        <w:tc>
          <w:tcPr>
            <w:tcW w:w="112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(119,106)</w:t>
            </w:r>
          </w:p>
        </w:tc>
        <w:tc>
          <w:tcPr>
            <w:tcW w:w="10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(268,534)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(316,360)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left w:val="single" w:sz="8" w:color="CCEEFF"/>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22"/>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8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 acquired</w:t>
            </w:r>
          </w:p>
        </w:tc>
        <w:tc>
          <w:tcPr>
            <w:tcW w:w="1120" w:type="dxa"/>
            <w:vAlign w:val="bottom"/>
            <w:tcBorders>
              <w:right w:val="single" w:sz="8" w:color="CCEEFF"/>
            </w:tcBorders>
            <w:gridSpan w:val="3"/>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3,466</w:t>
            </w:r>
          </w:p>
        </w:tc>
        <w:tc>
          <w:tcPr>
            <w:tcW w:w="1000" w:type="dxa"/>
            <w:vAlign w:val="bottom"/>
            <w:tcBorders>
              <w:left w:val="single" w:sz="8" w:color="CCEEFF"/>
            </w:tcBorders>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389,280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341,960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120" w:type="dxa"/>
            <w:vAlign w:val="bottom"/>
            <w:gridSpan w:val="3"/>
          </w:tcPr>
          <w:p>
            <w:pPr>
              <w:jc w:val="right"/>
              <w:ind w:right="208"/>
              <w:spacing w:after="0"/>
              <w:rPr>
                <w:sz w:val="20"/>
                <w:szCs w:val="20"/>
                <w:color w:val="auto"/>
              </w:rPr>
            </w:pPr>
            <w:r>
              <w:rPr>
                <w:rFonts w:ascii="Arial" w:cs="Arial" w:eastAsia="Arial" w:hAnsi="Arial"/>
                <w:sz w:val="18"/>
                <w:szCs w:val="18"/>
                <w:color w:val="auto"/>
              </w:rPr>
              <w:t>3,466</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389,280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341,960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20" w:type="dxa"/>
            <w:vAlign w:val="bottom"/>
            <w:vMerge w:val="restart"/>
          </w:tcPr>
          <w:p>
            <w:pPr>
              <w:ind w:left="140"/>
              <w:spacing w:after="0"/>
              <w:rPr>
                <w:sz w:val="20"/>
                <w:szCs w:val="20"/>
                <w:color w:val="auto"/>
              </w:rPr>
            </w:pPr>
            <w:r>
              <w:rPr>
                <w:rFonts w:ascii="Arial" w:cs="Arial" w:eastAsia="Arial" w:hAnsi="Arial"/>
                <w:sz w:val="18"/>
                <w:szCs w:val="18"/>
                <w:color w:val="auto"/>
              </w:rPr>
              <w:t>The movement of deferred tax valuation allowance is as follows: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6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tcBorders>
            <w:gridSpan w:val="2"/>
          </w:tcPr>
          <w:p>
            <w:pPr>
              <w:jc w:val="right"/>
              <w:ind w:right="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gridSpan w:val="2"/>
          </w:tcPr>
          <w:p>
            <w:pPr>
              <w:jc w:val="right"/>
              <w:ind w:right="168"/>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8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c>
          <w:tcPr>
            <w:tcW w:w="8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the year</w:t>
            </w:r>
          </w:p>
        </w:tc>
        <w:tc>
          <w:tcPr>
            <w:tcW w:w="112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52,936</w:t>
            </w:r>
          </w:p>
        </w:tc>
        <w:tc>
          <w:tcPr>
            <w:tcW w:w="1060" w:type="dxa"/>
            <w:vAlign w:val="bottom"/>
            <w:tcBorders>
              <w:left w:val="single" w:sz="8" w:color="CCEEFF"/>
            </w:tcBorders>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119,106</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268,534</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Additions</w:t>
            </w:r>
          </w:p>
        </w:tc>
        <w:tc>
          <w:tcPr>
            <w:tcW w:w="32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66,170</w:t>
            </w:r>
          </w:p>
        </w:tc>
        <w:tc>
          <w:tcPr>
            <w:tcW w:w="10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149,428</w:t>
            </w:r>
          </w:p>
        </w:tc>
        <w:tc>
          <w:tcPr>
            <w:tcW w:w="100" w:type="dxa"/>
            <w:vAlign w:val="bottom"/>
          </w:tcPr>
          <w:p>
            <w:pPr>
              <w:spacing w:after="0"/>
              <w:rPr>
                <w:sz w:val="17"/>
                <w:szCs w:val="17"/>
                <w:color w:val="auto"/>
              </w:rPr>
            </w:pPr>
          </w:p>
        </w:tc>
        <w:tc>
          <w:tcPr>
            <w:tcW w:w="9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47,826</w:t>
            </w: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end of the year</w:t>
            </w:r>
          </w:p>
        </w:tc>
        <w:tc>
          <w:tcPr>
            <w:tcW w:w="32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119,106</w:t>
            </w:r>
          </w:p>
        </w:tc>
        <w:tc>
          <w:tcPr>
            <w:tcW w:w="1060" w:type="dxa"/>
            <w:vAlign w:val="bottom"/>
            <w:tcBorders>
              <w:left w:val="single" w:sz="8" w:color="CCEEFF"/>
            </w:tcBorders>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268,534</w:t>
            </w:r>
          </w:p>
        </w:tc>
        <w:tc>
          <w:tcPr>
            <w:tcW w:w="1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316,360</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As of December 31, 2018, 2019 and 2020, the Group had net operating loss carry forwards of approximately RMB429,381, RMB926,237 and RMB1,155,441, respectively, which arose from the subsidiaries, VIE and VIE’s subsidiaries established in the PRC, Hong Kong. The loss carry forwards will expire during the period from 2020 to notice from local tax authorities. The Group has provided a full valuation allowance for the deferred tax assets as of December 31, 2018, 2019 and 2020, as management is not able to conclude that the future realization of those net operating loss carry forwards and other deferred tax assets are more likely than not.</w:t>
      </w:r>
    </w:p>
    <w:p>
      <w:pPr>
        <w:spacing w:after="0" w:line="202" w:lineRule="exact"/>
        <w:rPr>
          <w:sz w:val="20"/>
          <w:szCs w:val="20"/>
          <w:color w:val="auto"/>
        </w:rPr>
      </w:pPr>
    </w:p>
    <w:p>
      <w:pPr>
        <w:ind w:left="120" w:right="600" w:firstLine="551"/>
        <w:spacing w:after="0" w:line="246" w:lineRule="auto"/>
        <w:rPr>
          <w:sz w:val="20"/>
          <w:szCs w:val="20"/>
          <w:color w:val="auto"/>
        </w:rPr>
      </w:pPr>
      <w:r>
        <w:rPr>
          <w:rFonts w:ascii="Arial" w:cs="Arial" w:eastAsia="Arial" w:hAnsi="Arial"/>
          <w:sz w:val="18"/>
          <w:szCs w:val="18"/>
          <w:color w:val="auto"/>
        </w:rPr>
        <w:t>The deferred tax component of income tax benefits are related to the amortization of deferred tax liabilities resulting from the intangible assets acquired.</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In accordance with the EIT Law, dividends, which arise from profits of foreign invested enterprises (“FIEs”) earned after January 1, 2008, are subject to a 10% withholding income tax. In addition, under tax treaty between the PRC and Hong Kong, if the foreign investor is incorporated in Hong Kong and qualifies as the beneficial owner, the applicable withholding tax rate is reduced to 5%, if the investor holds at least 25% in the FIE, or 10%, if the investor holds less than 25% in the FIE. The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60" w:right="220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8520" w:hanging="4"/>
        <w:spacing w:after="0" w:line="403" w:lineRule="auto"/>
        <w:tabs>
          <w:tab w:leader="none" w:pos="660"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Taxation—(Continued) </w:t>
      </w:r>
      <w:r>
        <w:rPr>
          <w:rFonts w:ascii="Arial" w:cs="Arial" w:eastAsia="Arial" w:hAnsi="Arial"/>
          <w:sz w:val="17"/>
          <w:szCs w:val="17"/>
          <w:b w:val="1"/>
          <w:bCs w:val="1"/>
          <w:i w:val="1"/>
          <w:iCs w:val="1"/>
          <w:color w:val="auto"/>
        </w:rPr>
        <w:t>b) Income tax—(Continued)</w:t>
      </w:r>
    </w:p>
    <w:p>
      <w:pPr>
        <w:jc w:val="both"/>
        <w:ind w:left="120" w:right="400"/>
        <w:spacing w:after="0"/>
        <w:rPr>
          <w:sz w:val="20"/>
          <w:szCs w:val="20"/>
          <w:color w:val="auto"/>
        </w:rPr>
      </w:pPr>
      <w:r>
        <w:rPr>
          <w:rFonts w:ascii="Arial" w:cs="Arial" w:eastAsia="Arial" w:hAnsi="Arial"/>
          <w:sz w:val="18"/>
          <w:szCs w:val="18"/>
          <w:color w:val="auto"/>
        </w:rPr>
        <w:t>Company’s subsidiaries and VIE located in the PRC and Hong Kong were in accumulated deficit as of December 31, 2018, 2019 and 2020. Accordingly, no deferred tax liability has been accrued for the PRC dividend withholding taxes that would be payable upon the distribution of those amounts to the Company as of December 31, 2018, 2019 and 2020.</w:t>
      </w:r>
    </w:p>
    <w:p>
      <w:pPr>
        <w:spacing w:after="0" w:line="329" w:lineRule="exact"/>
        <w:rPr>
          <w:sz w:val="20"/>
          <w:szCs w:val="20"/>
          <w:color w:val="auto"/>
        </w:rPr>
      </w:pPr>
    </w:p>
    <w:p>
      <w:pPr>
        <w:ind w:left="660" w:hanging="544"/>
        <w:spacing w:after="0"/>
        <w:tabs>
          <w:tab w:leader="none" w:pos="6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bonds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On November 28, 2016, the Group’s PRC subsidiary, Shanghai Yueyee, issued non-interest bearing convertible bonds (the “2016 Notes”) with an aggregate principal amount of RMB200,000 and a maturity date of June 2018. Upon approval of ODI, the holders can at their option, to redeem the 2016 Notes in RMB and to purchase Series C-3 convertible redeemable preferred shares from the Company at US$2.6532 per share in US dollars for an amount equivalent to the principal of the 2016 Notes. This option to subscribe for the convertible redeemable preferred shares is not a free-standing financial instrument, but in essence a conversion option embedded in the 2016 Notes as it can only be exercised together with the redemption of the Notes.</w:t>
      </w:r>
    </w:p>
    <w:p>
      <w:pPr>
        <w:spacing w:after="0" w:line="205"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The Group determined the conversion feature of the convertible bond is not an embedded derivative and therefore bifurcation from the convertible bonds is not required. Further, there’s no beneficial conversion feature associated with the conversion option as the effective conversion price was higher than the fair value of the underlying shares. The 2016 Notes were recorded as a liability in their entirety at amortized cost on the consolidated balance sheets.</w:t>
      </w:r>
    </w:p>
    <w:p>
      <w:pPr>
        <w:spacing w:after="0" w:line="205" w:lineRule="exact"/>
        <w:rPr>
          <w:sz w:val="20"/>
          <w:szCs w:val="20"/>
          <w:color w:val="auto"/>
        </w:rPr>
      </w:pPr>
    </w:p>
    <w:p>
      <w:pPr>
        <w:ind w:left="120" w:right="760" w:firstLine="551"/>
        <w:spacing w:after="0" w:line="246" w:lineRule="auto"/>
        <w:rPr>
          <w:sz w:val="20"/>
          <w:szCs w:val="20"/>
          <w:color w:val="auto"/>
        </w:rPr>
      </w:pPr>
      <w:r>
        <w:rPr>
          <w:rFonts w:ascii="Arial" w:cs="Arial" w:eastAsia="Arial" w:hAnsi="Arial"/>
          <w:sz w:val="18"/>
          <w:szCs w:val="18"/>
          <w:color w:val="auto"/>
        </w:rPr>
        <w:t>Among 2016 Notes, RMB40,000 was converted into 2,255,380 Series C-3 convertible redeemable preferred shares at the contractual conversion price in 2018.</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preferred shares</w:t>
      </w:r>
    </w:p>
    <w:p>
      <w:pPr>
        <w:spacing w:after="0" w:line="126" w:lineRule="exact"/>
        <w:rPr>
          <w:sz w:val="20"/>
          <w:szCs w:val="20"/>
          <w:color w:val="auto"/>
        </w:rPr>
      </w:pPr>
    </w:p>
    <w:p>
      <w:pPr>
        <w:ind w:left="120" w:right="560" w:firstLine="551"/>
        <w:spacing w:after="0" w:line="246" w:lineRule="auto"/>
        <w:rPr>
          <w:sz w:val="20"/>
          <w:szCs w:val="20"/>
          <w:color w:val="auto"/>
        </w:rPr>
      </w:pPr>
      <w:r>
        <w:rPr>
          <w:rFonts w:ascii="Arial" w:cs="Arial" w:eastAsia="Arial" w:hAnsi="Arial"/>
          <w:sz w:val="18"/>
          <w:szCs w:val="18"/>
          <w:color w:val="auto"/>
        </w:rPr>
        <w:t>The following table summarizes changes in the carrying amount of the convertible redeemable preferred shares for the years ended December 31, 2018, 2019 and 2020:</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Series A Convertible</w:t>
            </w:r>
          </w:p>
        </w:tc>
        <w:tc>
          <w:tcPr>
            <w:tcW w:w="1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Series B Convertible</w:t>
            </w:r>
          </w:p>
        </w:tc>
        <w:tc>
          <w:tcPr>
            <w:tcW w:w="1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Series C Convertible</w:t>
            </w:r>
          </w:p>
        </w:tc>
        <w:tc>
          <w:tcPr>
            <w:tcW w:w="16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Series D Convertible</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Series E Convertible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1440" w:type="dxa"/>
            <w:vAlign w:val="bottom"/>
          </w:tcPr>
          <w:p>
            <w:pPr>
              <w:spacing w:after="0"/>
              <w:rPr>
                <w:sz w:val="14"/>
                <w:szCs w:val="14"/>
                <w:color w:val="auto"/>
              </w:rPr>
            </w:pP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redeemable</w:t>
            </w:r>
          </w:p>
        </w:tc>
        <w:tc>
          <w:tcPr>
            <w:tcW w:w="1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redeemable</w:t>
            </w:r>
          </w:p>
        </w:tc>
        <w:tc>
          <w:tcPr>
            <w:tcW w:w="1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redeemable</w:t>
            </w:r>
          </w:p>
        </w:tc>
        <w:tc>
          <w:tcPr>
            <w:tcW w:w="16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redeemable</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redeemable</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440" w:type="dxa"/>
            <w:vAlign w:val="bottom"/>
          </w:tcPr>
          <w:p>
            <w:pPr>
              <w:spacing w:after="0"/>
              <w:rPr>
                <w:sz w:val="15"/>
                <w:szCs w:val="15"/>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preferred shares</w:t>
            </w:r>
          </w:p>
        </w:tc>
        <w:tc>
          <w:tcPr>
            <w:tcW w:w="15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preferred shares</w:t>
            </w:r>
          </w:p>
        </w:tc>
        <w:tc>
          <w:tcPr>
            <w:tcW w:w="16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preferred shares</w:t>
            </w:r>
          </w:p>
        </w:tc>
        <w:tc>
          <w:tcPr>
            <w:tcW w:w="16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preferred shares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preferred shares</w:t>
            </w:r>
          </w:p>
        </w:tc>
        <w:tc>
          <w:tcPr>
            <w:tcW w:w="16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Total</w:t>
            </w:r>
          </w:p>
        </w:tc>
      </w:tr>
      <w:tr>
        <w:trPr>
          <w:trHeight w:val="142"/>
        </w:trPr>
        <w:tc>
          <w:tcPr>
            <w:tcW w:w="1440" w:type="dxa"/>
            <w:vAlign w:val="bottom"/>
          </w:tcPr>
          <w:p>
            <w:pPr>
              <w:spacing w:after="0"/>
              <w:rPr>
                <w:sz w:val="12"/>
                <w:szCs w:val="12"/>
                <w:color w:val="auto"/>
              </w:rPr>
            </w:pPr>
          </w:p>
        </w:tc>
        <w:tc>
          <w:tcPr>
            <w:tcW w:w="800" w:type="dxa"/>
            <w:vAlign w:val="bottom"/>
            <w:tcBorders>
              <w:top w:val="single" w:sz="8" w:color="auto"/>
            </w:tcBorders>
            <w:gridSpan w:val="2"/>
          </w:tcPr>
          <w:p>
            <w:pPr>
              <w:ind w:left="80"/>
              <w:spacing w:after="0" w:line="143"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ind w:left="100"/>
              <w:spacing w:after="0" w:line="143"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gridSpan w:val="2"/>
          </w:tcPr>
          <w:p>
            <w:pPr>
              <w:ind w:left="20"/>
              <w:spacing w:after="0" w:line="143" w:lineRule="exact"/>
              <w:rPr>
                <w:sz w:val="20"/>
                <w:szCs w:val="20"/>
                <w:color w:val="auto"/>
              </w:rPr>
            </w:pPr>
            <w:r>
              <w:rPr>
                <w:rFonts w:ascii="Arial" w:cs="Arial" w:eastAsia="Arial" w:hAnsi="Arial"/>
                <w:sz w:val="14"/>
                <w:szCs w:val="14"/>
                <w:b w:val="1"/>
                <w:bCs w:val="1"/>
                <w:color w:val="auto"/>
              </w:rPr>
              <w:t>Number of</w:t>
            </w: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rPr>
              <w:t>Number of</w:t>
            </w: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rPr>
              <w:t>Number of</w:t>
            </w: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00"/>
              <w:spacing w:after="0" w:line="143" w:lineRule="exact"/>
              <w:rPr>
                <w:sz w:val="20"/>
                <w:szCs w:val="20"/>
                <w:color w:val="auto"/>
              </w:rPr>
            </w:pPr>
            <w:r>
              <w:rPr>
                <w:rFonts w:ascii="Arial" w:cs="Arial" w:eastAsia="Arial" w:hAnsi="Arial"/>
                <w:sz w:val="14"/>
                <w:szCs w:val="14"/>
                <w:b w:val="1"/>
                <w:bCs w:val="1"/>
                <w:color w:val="auto"/>
              </w:rPr>
              <w:t>Number of</w:t>
            </w: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14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of shares</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of shares</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r>
      <w:tr>
        <w:trPr>
          <w:trHeight w:val="129"/>
        </w:trPr>
        <w:tc>
          <w:tcPr>
            <w:tcW w:w="1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75"/>
        </w:trPr>
        <w:tc>
          <w:tcPr>
            <w:tcW w:w="1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2018</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9,497,040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83,565</w:t>
            </w: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7,586,836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78,445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23,615,873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475,106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40,699,749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637,116</w:t>
            </w:r>
          </w:p>
        </w:tc>
      </w:tr>
      <w:tr>
        <w:trPr>
          <w:trHeight w:val="162"/>
        </w:trPr>
        <w:tc>
          <w:tcPr>
            <w:tcW w:w="1440" w:type="dxa"/>
            <w:vAlign w:val="bottom"/>
          </w:tcPr>
          <w:p>
            <w:pPr>
              <w:spacing w:after="0"/>
              <w:rPr>
                <w:sz w:val="20"/>
                <w:szCs w:val="20"/>
                <w:color w:val="auto"/>
              </w:rPr>
            </w:pPr>
            <w:r>
              <w:rPr>
                <w:rFonts w:ascii="Arial" w:cs="Arial" w:eastAsia="Arial" w:hAnsi="Arial"/>
                <w:sz w:val="14"/>
                <w:szCs w:val="14"/>
                <w:color w:val="auto"/>
              </w:rPr>
              <w:t>Issuance</w:t>
            </w: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7,819,871</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171,863</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7,952,405</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801,801</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15,772,276</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973,664</w:t>
            </w:r>
          </w:p>
        </w:tc>
      </w:tr>
      <w:tr>
        <w:trPr>
          <w:trHeight w:val="167"/>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Subscription</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7"/>
        </w:trPr>
        <w:tc>
          <w:tcPr>
            <w:tcW w:w="144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receivables</w:t>
            </w:r>
          </w:p>
        </w:tc>
        <w:tc>
          <w:tcPr>
            <w:tcW w:w="800" w:type="dxa"/>
            <w:vAlign w:val="bottom"/>
            <w:gridSpan w:val="2"/>
            <w:shd w:val="clear" w:color="auto" w:fill="CCEEFF"/>
          </w:tcPr>
          <w:p>
            <w:pPr>
              <w:ind w:left="500"/>
              <w:spacing w:after="0" w:line="157"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line="157"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(16,697)</w:t>
            </w: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(16,697)</w:t>
            </w:r>
          </w:p>
        </w:tc>
      </w:tr>
      <w:tr>
        <w:trPr>
          <w:trHeight w:val="167"/>
        </w:trPr>
        <w:tc>
          <w:tcPr>
            <w:tcW w:w="1440" w:type="dxa"/>
            <w:vAlign w:val="bottom"/>
          </w:tcPr>
          <w:p>
            <w:pPr>
              <w:spacing w:after="0"/>
              <w:rPr>
                <w:sz w:val="20"/>
                <w:szCs w:val="20"/>
                <w:color w:val="auto"/>
              </w:rPr>
            </w:pPr>
            <w:r>
              <w:rPr>
                <w:rFonts w:ascii="Arial" w:cs="Arial" w:eastAsia="Arial" w:hAnsi="Arial"/>
                <w:sz w:val="14"/>
                <w:szCs w:val="14"/>
                <w:color w:val="auto"/>
              </w:rPr>
              <w:t>Exercise of the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1440" w:type="dxa"/>
            <w:vAlign w:val="bottom"/>
          </w:tcPr>
          <w:p>
            <w:pPr>
              <w:ind w:left="140"/>
              <w:spacing w:after="0" w:line="157" w:lineRule="exact"/>
              <w:rPr>
                <w:sz w:val="20"/>
                <w:szCs w:val="20"/>
                <w:color w:val="auto"/>
              </w:rPr>
            </w:pPr>
            <w:r>
              <w:rPr>
                <w:rFonts w:ascii="Arial" w:cs="Arial" w:eastAsia="Arial" w:hAnsi="Arial"/>
                <w:sz w:val="14"/>
                <w:szCs w:val="14"/>
                <w:color w:val="auto"/>
              </w:rPr>
              <w:t>warrant</w:t>
            </w:r>
          </w:p>
        </w:tc>
        <w:tc>
          <w:tcPr>
            <w:tcW w:w="800" w:type="dxa"/>
            <w:vAlign w:val="bottom"/>
            <w:gridSpan w:val="2"/>
          </w:tcPr>
          <w:p>
            <w:pPr>
              <w:ind w:left="500"/>
              <w:spacing w:after="0" w:line="157"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20"/>
              <w:spacing w:after="0" w:line="157"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1,884,512</w:t>
            </w: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15,704</w:t>
            </w:r>
          </w:p>
        </w:tc>
        <w:tc>
          <w:tcPr>
            <w:tcW w:w="8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2,115,755</w:t>
            </w: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3,950</w:t>
            </w: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60"/>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4,000,267</w:t>
            </w: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19,654</w:t>
            </w:r>
          </w:p>
        </w:tc>
      </w:tr>
      <w:tr>
        <w:trPr>
          <w:trHeight w:val="162"/>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Accretion</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154,939</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123,143</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395,947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204,290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878,319</w:t>
            </w:r>
          </w:p>
        </w:tc>
      </w:tr>
      <w:tr>
        <w:trPr>
          <w:trHeight w:val="156"/>
        </w:trPr>
        <w:tc>
          <w:tcPr>
            <w:tcW w:w="144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1440" w:type="dxa"/>
            <w:vAlign w:val="bottom"/>
          </w:tcPr>
          <w:p>
            <w:pPr>
              <w:ind w:left="140"/>
              <w:spacing w:after="0"/>
              <w:rPr>
                <w:sz w:val="20"/>
                <w:szCs w:val="20"/>
                <w:color w:val="auto"/>
              </w:rPr>
            </w:pPr>
            <w:r>
              <w:rPr>
                <w:rFonts w:ascii="Arial" w:cs="Arial" w:eastAsia="Arial" w:hAnsi="Arial"/>
                <w:sz w:val="14"/>
                <w:szCs w:val="14"/>
                <w:b w:val="1"/>
                <w:bCs w:val="1"/>
                <w:color w:val="auto"/>
              </w:rPr>
              <w:t>January 1,2019</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9,497,040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238,504</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7,586,836</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201,588</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33,320,256</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1,041,923</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10,068,160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1,010,041</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60,472,292</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2,492,056</w:t>
            </w:r>
          </w:p>
        </w:tc>
      </w:tr>
      <w:tr>
        <w:trPr>
          <w:trHeight w:val="162"/>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Issuance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30,021,942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3,693,326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30,021,942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3,693,326</w:t>
            </w:r>
          </w:p>
        </w:tc>
      </w:tr>
      <w:tr>
        <w:trPr>
          <w:trHeight w:val="167"/>
        </w:trPr>
        <w:tc>
          <w:tcPr>
            <w:tcW w:w="1440" w:type="dxa"/>
            <w:vAlign w:val="bottom"/>
          </w:tcPr>
          <w:p>
            <w:pPr>
              <w:spacing w:after="0"/>
              <w:rPr>
                <w:sz w:val="20"/>
                <w:szCs w:val="20"/>
                <w:color w:val="auto"/>
              </w:rPr>
            </w:pPr>
            <w:r>
              <w:rPr>
                <w:rFonts w:ascii="Arial" w:cs="Arial" w:eastAsia="Arial" w:hAnsi="Arial"/>
                <w:sz w:val="14"/>
                <w:szCs w:val="14"/>
                <w:color w:val="auto"/>
              </w:rPr>
              <w:t>Collection of</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1440" w:type="dxa"/>
            <w:vAlign w:val="bottom"/>
          </w:tcPr>
          <w:p>
            <w:pPr>
              <w:ind w:left="140"/>
              <w:spacing w:after="0"/>
              <w:rPr>
                <w:sz w:val="20"/>
                <w:szCs w:val="20"/>
                <w:color w:val="auto"/>
              </w:rPr>
            </w:pPr>
            <w:r>
              <w:rPr>
                <w:rFonts w:ascii="Arial" w:cs="Arial" w:eastAsia="Arial" w:hAnsi="Arial"/>
                <w:sz w:val="14"/>
                <w:szCs w:val="14"/>
                <w:color w:val="auto"/>
              </w:rPr>
              <w:t>Subscription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1440" w:type="dxa"/>
            <w:vAlign w:val="bottom"/>
          </w:tcPr>
          <w:p>
            <w:pPr>
              <w:ind w:left="140"/>
              <w:spacing w:after="0" w:line="157" w:lineRule="exact"/>
              <w:rPr>
                <w:sz w:val="20"/>
                <w:szCs w:val="20"/>
                <w:color w:val="auto"/>
              </w:rPr>
            </w:pPr>
            <w:r>
              <w:rPr>
                <w:rFonts w:ascii="Arial" w:cs="Arial" w:eastAsia="Arial" w:hAnsi="Arial"/>
                <w:sz w:val="14"/>
                <w:szCs w:val="14"/>
                <w:color w:val="auto"/>
              </w:rPr>
              <w:t>Receivables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16,697</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16,697</w:t>
            </w:r>
          </w:p>
        </w:tc>
      </w:tr>
      <w:tr>
        <w:trPr>
          <w:trHeight w:val="162"/>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Accretion</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123,459</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94,078</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335,372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(4,189)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329,279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877,999</w:t>
            </w:r>
          </w:p>
        </w:tc>
      </w:tr>
      <w:tr>
        <w:trPr>
          <w:trHeight w:val="156"/>
        </w:trPr>
        <w:tc>
          <w:tcPr>
            <w:tcW w:w="144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75"/>
        </w:trPr>
        <w:tc>
          <w:tcPr>
            <w:tcW w:w="1440" w:type="dxa"/>
            <w:vAlign w:val="bottom"/>
          </w:tcPr>
          <w:p>
            <w:pPr>
              <w:ind w:left="140"/>
              <w:spacing w:after="0"/>
              <w:rPr>
                <w:sz w:val="20"/>
                <w:szCs w:val="20"/>
                <w:color w:val="auto"/>
              </w:rPr>
            </w:pPr>
            <w:r>
              <w:rPr>
                <w:rFonts w:ascii="Arial" w:cs="Arial" w:eastAsia="Arial" w:hAnsi="Arial"/>
                <w:sz w:val="14"/>
                <w:szCs w:val="14"/>
                <w:b w:val="1"/>
                <w:bCs w:val="1"/>
                <w:color w:val="auto"/>
              </w:rPr>
              <w:t>January 1,2020</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9,497,040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361,963</w:t>
            </w: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7,586,836</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295,666</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33,320,256</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1,393,992</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10,068,160</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1,005,852</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30,021,942</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4,022,605</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90,494,234</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7,080,078</w:t>
            </w:r>
          </w:p>
        </w:tc>
      </w:tr>
      <w:tr>
        <w:trPr>
          <w:trHeight w:val="162"/>
        </w:trPr>
        <w:tc>
          <w:tcPr>
            <w:tcW w:w="1440" w:type="dxa"/>
            <w:vAlign w:val="bottom"/>
            <w:shd w:val="clear" w:color="auto" w:fill="CCEEFF"/>
          </w:tcPr>
          <w:p>
            <w:pPr>
              <w:spacing w:after="0"/>
              <w:rPr>
                <w:sz w:val="20"/>
                <w:szCs w:val="20"/>
                <w:color w:val="auto"/>
              </w:rPr>
            </w:pPr>
            <w:r>
              <w:rPr>
                <w:rFonts w:ascii="Arial" w:cs="Arial" w:eastAsia="Arial" w:hAnsi="Arial"/>
                <w:sz w:val="14"/>
                <w:szCs w:val="14"/>
                <w:color w:val="auto"/>
              </w:rPr>
              <w:t>Issuance</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4,203,072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495,318</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4,203,072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495,318</w:t>
            </w:r>
          </w:p>
        </w:tc>
      </w:tr>
      <w:tr>
        <w:trPr>
          <w:trHeight w:val="169"/>
        </w:trPr>
        <w:tc>
          <w:tcPr>
            <w:tcW w:w="1440" w:type="dxa"/>
            <w:vAlign w:val="bottom"/>
          </w:tcPr>
          <w:p>
            <w:pPr>
              <w:spacing w:after="0"/>
              <w:rPr>
                <w:sz w:val="20"/>
                <w:szCs w:val="20"/>
                <w:color w:val="auto"/>
              </w:rPr>
            </w:pPr>
            <w:r>
              <w:rPr>
                <w:rFonts w:ascii="Arial" w:cs="Arial" w:eastAsia="Arial" w:hAnsi="Arial"/>
                <w:sz w:val="14"/>
                <w:szCs w:val="14"/>
                <w:color w:val="auto"/>
              </w:rPr>
              <w:t>Accretion</w:t>
            </w: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83,312</w:t>
            </w: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65,967</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311,443</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147,741</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696,035</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1,304,498</w:t>
            </w:r>
          </w:p>
        </w:tc>
      </w:tr>
      <w:tr>
        <w:trPr>
          <w:trHeight w:val="149"/>
        </w:trPr>
        <w:tc>
          <w:tcPr>
            <w:tcW w:w="1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w:t>
            </w: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5"/>
        </w:trPr>
        <w:tc>
          <w:tcPr>
            <w:tcW w:w="14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December 31,2020</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9,497,040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445,275</w:t>
            </w:r>
          </w:p>
        </w:tc>
        <w:tc>
          <w:tcPr>
            <w:tcW w:w="8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7,586,836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361,633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33,320,256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1,705,435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10,068,160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1,153,593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34,225,014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5,213,958</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94,697,306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8,879,894</w:t>
            </w:r>
          </w:p>
        </w:tc>
      </w:tr>
      <w:tr>
        <w:trPr>
          <w:trHeight w:val="20"/>
        </w:trPr>
        <w:tc>
          <w:tcPr>
            <w:tcW w:w="1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preferred shares—(Continued)</w:t>
      </w:r>
    </w:p>
    <w:p>
      <w:pPr>
        <w:spacing w:after="0" w:line="13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issuance of convertible redeemable preferred shares up to December 31, 2020:</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80" w:type="dxa"/>
            <w:vAlign w:val="bottom"/>
            <w:gridSpan w:val="2"/>
          </w:tcPr>
          <w:p>
            <w:pPr>
              <w:jc w:val="center"/>
              <w:ind w:right="760"/>
              <w:spacing w:after="0"/>
              <w:rPr>
                <w:sz w:val="20"/>
                <w:szCs w:val="20"/>
                <w:color w:val="auto"/>
              </w:rPr>
            </w:pPr>
            <w:r>
              <w:rPr>
                <w:rFonts w:ascii="Arial" w:cs="Arial" w:eastAsia="Arial" w:hAnsi="Arial"/>
                <w:sz w:val="14"/>
                <w:szCs w:val="14"/>
                <w:color w:val="auto"/>
              </w:rPr>
              <w:t>Series</w:t>
            </w:r>
          </w:p>
        </w:tc>
        <w:tc>
          <w:tcPr>
            <w:tcW w:w="2700" w:type="dxa"/>
            <w:vAlign w:val="bottom"/>
            <w:gridSpan w:val="2"/>
          </w:tcPr>
          <w:p>
            <w:pPr>
              <w:jc w:val="center"/>
              <w:ind w:right="760"/>
              <w:spacing w:after="0"/>
              <w:rPr>
                <w:sz w:val="20"/>
                <w:szCs w:val="20"/>
                <w:color w:val="auto"/>
              </w:rPr>
            </w:pPr>
            <w:r>
              <w:rPr>
                <w:rFonts w:ascii="Arial" w:cs="Arial" w:eastAsia="Arial" w:hAnsi="Arial"/>
                <w:sz w:val="14"/>
                <w:szCs w:val="14"/>
                <w:color w:val="auto"/>
              </w:rPr>
              <w:t>Issuance date</w:t>
            </w:r>
          </w:p>
        </w:tc>
        <w:tc>
          <w:tcPr>
            <w:tcW w:w="1840" w:type="dxa"/>
            <w:vAlign w:val="bottom"/>
            <w:gridSpan w:val="2"/>
          </w:tcPr>
          <w:p>
            <w:pPr>
              <w:ind w:left="100"/>
              <w:spacing w:after="0"/>
              <w:rPr>
                <w:sz w:val="20"/>
                <w:szCs w:val="20"/>
                <w:color w:val="auto"/>
              </w:rPr>
            </w:pPr>
            <w:r>
              <w:rPr>
                <w:rFonts w:ascii="Arial" w:cs="Arial" w:eastAsia="Arial" w:hAnsi="Arial"/>
                <w:sz w:val="14"/>
                <w:szCs w:val="14"/>
                <w:color w:val="auto"/>
              </w:rPr>
              <w:t>Share Issued</w:t>
            </w:r>
          </w:p>
        </w:tc>
        <w:tc>
          <w:tcPr>
            <w:tcW w:w="2540" w:type="dxa"/>
            <w:vAlign w:val="bottom"/>
            <w:gridSpan w:val="2"/>
          </w:tcPr>
          <w:p>
            <w:pPr>
              <w:jc w:val="center"/>
              <w:ind w:right="760"/>
              <w:spacing w:after="0"/>
              <w:rPr>
                <w:sz w:val="20"/>
                <w:szCs w:val="20"/>
                <w:color w:val="auto"/>
              </w:rPr>
            </w:pPr>
            <w:r>
              <w:rPr>
                <w:rFonts w:ascii="Arial" w:cs="Arial" w:eastAsia="Arial" w:hAnsi="Arial"/>
                <w:sz w:val="14"/>
                <w:szCs w:val="14"/>
                <w:color w:val="auto"/>
              </w:rPr>
              <w:t>Issue Price per Share</w:t>
            </w:r>
          </w:p>
        </w:tc>
        <w:tc>
          <w:tcPr>
            <w:tcW w:w="1860" w:type="dxa"/>
            <w:vAlign w:val="bottom"/>
          </w:tcPr>
          <w:p>
            <w:pPr>
              <w:jc w:val="center"/>
              <w:spacing w:after="0"/>
              <w:rPr>
                <w:sz w:val="20"/>
                <w:szCs w:val="20"/>
                <w:color w:val="auto"/>
              </w:rPr>
            </w:pPr>
            <w:r>
              <w:rPr>
                <w:rFonts w:ascii="Arial" w:cs="Arial" w:eastAsia="Arial" w:hAnsi="Arial"/>
                <w:sz w:val="14"/>
                <w:szCs w:val="14"/>
                <w:color w:val="auto"/>
              </w:rPr>
              <w:t>Proceeds from Issuance</w:t>
            </w:r>
          </w:p>
        </w:tc>
      </w:tr>
      <w:tr>
        <w:trPr>
          <w:trHeight w:val="195"/>
        </w:trPr>
        <w:tc>
          <w:tcPr>
            <w:tcW w:w="13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A, B, C-1, C-2</w:t>
            </w:r>
          </w:p>
        </w:tc>
        <w:tc>
          <w:tcPr>
            <w:tcW w:w="76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August 31, 2012 ~</w:t>
            </w:r>
          </w:p>
        </w:tc>
        <w:tc>
          <w:tcPr>
            <w:tcW w:w="7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44,887,552</w:t>
            </w:r>
          </w:p>
        </w:tc>
        <w:tc>
          <w:tcPr>
            <w:tcW w:w="78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rPr>
              <w:t>US$0.21~US$2.65</w:t>
            </w:r>
          </w:p>
        </w:tc>
        <w:tc>
          <w:tcPr>
            <w:tcW w:w="76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US$63,902</w:t>
            </w:r>
          </w:p>
        </w:tc>
      </w:tr>
      <w:tr>
        <w:trPr>
          <w:trHeight w:val="203"/>
        </w:trPr>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jc w:val="center"/>
              <w:ind w:right="760"/>
              <w:spacing w:after="0" w:line="203" w:lineRule="exact"/>
              <w:rPr>
                <w:sz w:val="20"/>
                <w:szCs w:val="20"/>
                <w:color w:val="auto"/>
              </w:rPr>
            </w:pPr>
            <w:r>
              <w:rPr>
                <w:rFonts w:ascii="Arial" w:cs="Arial" w:eastAsia="Arial" w:hAnsi="Arial"/>
                <w:sz w:val="18"/>
                <w:szCs w:val="18"/>
                <w:color w:val="auto"/>
                <w:w w:val="99"/>
              </w:rPr>
              <w:t>November 11, 2016</w:t>
            </w:r>
          </w:p>
        </w:tc>
        <w:tc>
          <w:tcPr>
            <w:tcW w:w="10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03"/>
        </w:trPr>
        <w:tc>
          <w:tcPr>
            <w:tcW w:w="208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w w:val="96"/>
              </w:rPr>
              <w:t>C-3</w:t>
            </w:r>
          </w:p>
        </w:tc>
        <w:tc>
          <w:tcPr>
            <w:tcW w:w="270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w w:val="99"/>
              </w:rPr>
              <w:t>June 26, 2018</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1,884,512</w:t>
            </w:r>
          </w:p>
        </w:tc>
        <w:tc>
          <w:tcPr>
            <w:tcW w:w="780" w:type="dxa"/>
            <w:vAlign w:val="bottom"/>
          </w:tcPr>
          <w:p>
            <w:pPr>
              <w:spacing w:after="0"/>
              <w:rPr>
                <w:sz w:val="17"/>
                <w:szCs w:val="17"/>
                <w:color w:val="auto"/>
              </w:rPr>
            </w:pPr>
          </w:p>
        </w:tc>
        <w:tc>
          <w:tcPr>
            <w:tcW w:w="254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w w:val="99"/>
              </w:rPr>
              <w:t>US$2.65</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US$5,000</w:t>
            </w:r>
          </w:p>
        </w:tc>
      </w:tr>
      <w:tr>
        <w:trPr>
          <w:trHeight w:val="203"/>
        </w:trPr>
        <w:tc>
          <w:tcPr>
            <w:tcW w:w="208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6"/>
              </w:rPr>
              <w:t>C-3</w:t>
            </w:r>
          </w:p>
        </w:tc>
        <w:tc>
          <w:tcPr>
            <w:tcW w:w="2700" w:type="dxa"/>
            <w:vAlign w:val="bottom"/>
            <w:gridSpan w:val="2"/>
            <w:shd w:val="clear" w:color="auto" w:fill="CCEEFF"/>
          </w:tcPr>
          <w:p>
            <w:pPr>
              <w:jc w:val="center"/>
              <w:ind w:right="780"/>
              <w:spacing w:after="0" w:line="202" w:lineRule="exact"/>
              <w:rPr>
                <w:sz w:val="20"/>
                <w:szCs w:val="20"/>
                <w:color w:val="auto"/>
              </w:rPr>
            </w:pPr>
            <w:r>
              <w:rPr>
                <w:rFonts w:ascii="Arial" w:cs="Arial" w:eastAsia="Arial" w:hAnsi="Arial"/>
                <w:sz w:val="18"/>
                <w:szCs w:val="18"/>
                <w:color w:val="auto"/>
                <w:w w:val="99"/>
              </w:rPr>
              <w:t>December 7, 2018</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7,819,871</w:t>
            </w:r>
          </w:p>
        </w:tc>
        <w:tc>
          <w:tcPr>
            <w:tcW w:w="78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9"/>
              </w:rPr>
              <w:t>US$2.65</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RMB138,688</w:t>
            </w:r>
          </w:p>
        </w:tc>
      </w:tr>
      <w:tr>
        <w:trPr>
          <w:trHeight w:val="203"/>
        </w:trPr>
        <w:tc>
          <w:tcPr>
            <w:tcW w:w="208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w w:val="91"/>
              </w:rPr>
              <w:t>D</w:t>
            </w:r>
          </w:p>
        </w:tc>
        <w:tc>
          <w:tcPr>
            <w:tcW w:w="2700" w:type="dxa"/>
            <w:vAlign w:val="bottom"/>
            <w:gridSpan w:val="2"/>
          </w:tcPr>
          <w:p>
            <w:pPr>
              <w:jc w:val="center"/>
              <w:ind w:right="760"/>
              <w:spacing w:after="0" w:line="202" w:lineRule="exact"/>
              <w:rPr>
                <w:sz w:val="20"/>
                <w:szCs w:val="20"/>
                <w:color w:val="auto"/>
              </w:rPr>
            </w:pPr>
            <w:r>
              <w:rPr>
                <w:rFonts w:ascii="Arial" w:cs="Arial" w:eastAsia="Arial" w:hAnsi="Arial"/>
                <w:sz w:val="18"/>
                <w:szCs w:val="18"/>
                <w:color w:val="auto"/>
              </w:rPr>
              <w:t>July 5, 2018</w:t>
            </w:r>
          </w:p>
        </w:tc>
        <w:tc>
          <w:tcPr>
            <w:tcW w:w="1060" w:type="dxa"/>
            <w:vAlign w:val="bottom"/>
          </w:tcPr>
          <w:p>
            <w:pPr>
              <w:jc w:val="center"/>
              <w:spacing w:after="0" w:line="202" w:lineRule="exact"/>
              <w:rPr>
                <w:sz w:val="20"/>
                <w:szCs w:val="20"/>
                <w:color w:val="auto"/>
              </w:rPr>
            </w:pPr>
            <w:r>
              <w:rPr>
                <w:rFonts w:ascii="Arial" w:cs="Arial" w:eastAsia="Arial" w:hAnsi="Arial"/>
                <w:sz w:val="18"/>
                <w:szCs w:val="18"/>
                <w:color w:val="auto"/>
                <w:w w:val="99"/>
              </w:rPr>
              <w:t>2,115,755</w:t>
            </w:r>
          </w:p>
        </w:tc>
        <w:tc>
          <w:tcPr>
            <w:tcW w:w="780" w:type="dxa"/>
            <w:vAlign w:val="bottom"/>
          </w:tcPr>
          <w:p>
            <w:pPr>
              <w:spacing w:after="0"/>
              <w:rPr>
                <w:sz w:val="17"/>
                <w:szCs w:val="17"/>
                <w:color w:val="auto"/>
              </w:rPr>
            </w:pPr>
          </w:p>
        </w:tc>
        <w:tc>
          <w:tcPr>
            <w:tcW w:w="2540" w:type="dxa"/>
            <w:vAlign w:val="bottom"/>
            <w:gridSpan w:val="2"/>
          </w:tcPr>
          <w:p>
            <w:pPr>
              <w:jc w:val="center"/>
              <w:ind w:right="780"/>
              <w:spacing w:after="0" w:line="202" w:lineRule="exact"/>
              <w:rPr>
                <w:sz w:val="20"/>
                <w:szCs w:val="20"/>
                <w:color w:val="auto"/>
              </w:rPr>
            </w:pPr>
            <w:r>
              <w:rPr>
                <w:rFonts w:ascii="Arial" w:cs="Arial" w:eastAsia="Arial" w:hAnsi="Arial"/>
                <w:sz w:val="18"/>
                <w:szCs w:val="18"/>
                <w:color w:val="auto"/>
                <w:w w:val="99"/>
              </w:rPr>
              <w:t>US$10.83</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US$22,917</w:t>
            </w:r>
          </w:p>
        </w:tc>
      </w:tr>
      <w:tr>
        <w:trPr>
          <w:trHeight w:val="203"/>
        </w:trPr>
        <w:tc>
          <w:tcPr>
            <w:tcW w:w="208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1"/>
              </w:rPr>
              <w:t>D</w:t>
            </w:r>
          </w:p>
        </w:tc>
        <w:tc>
          <w:tcPr>
            <w:tcW w:w="270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rPr>
              <w:t>July 5, 2018</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7,952,405</w:t>
            </w:r>
          </w:p>
        </w:tc>
        <w:tc>
          <w:tcPr>
            <w:tcW w:w="78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center"/>
              <w:ind w:right="780"/>
              <w:spacing w:after="0" w:line="202" w:lineRule="exact"/>
              <w:rPr>
                <w:sz w:val="20"/>
                <w:szCs w:val="20"/>
                <w:color w:val="auto"/>
              </w:rPr>
            </w:pPr>
            <w:r>
              <w:rPr>
                <w:rFonts w:ascii="Arial" w:cs="Arial" w:eastAsia="Arial" w:hAnsi="Arial"/>
                <w:sz w:val="18"/>
                <w:szCs w:val="18"/>
                <w:color w:val="auto"/>
                <w:w w:val="99"/>
              </w:rPr>
              <w:t>US$12.74</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US$101,340</w:t>
            </w:r>
          </w:p>
        </w:tc>
      </w:tr>
      <w:tr>
        <w:trPr>
          <w:trHeight w:val="202"/>
        </w:trPr>
        <w:tc>
          <w:tcPr>
            <w:tcW w:w="208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w w:val="99"/>
              </w:rPr>
              <w:t>E</w:t>
            </w:r>
          </w:p>
        </w:tc>
        <w:tc>
          <w:tcPr>
            <w:tcW w:w="270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rPr>
              <w:t>June 3 ~</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2,521,844</w:t>
            </w:r>
          </w:p>
        </w:tc>
        <w:tc>
          <w:tcPr>
            <w:tcW w:w="780" w:type="dxa"/>
            <w:vAlign w:val="bottom"/>
          </w:tcPr>
          <w:p>
            <w:pPr>
              <w:spacing w:after="0"/>
              <w:rPr>
                <w:sz w:val="17"/>
                <w:szCs w:val="17"/>
                <w:color w:val="auto"/>
              </w:rPr>
            </w:pPr>
          </w:p>
        </w:tc>
        <w:tc>
          <w:tcPr>
            <w:tcW w:w="2540" w:type="dxa"/>
            <w:vAlign w:val="bottom"/>
            <w:gridSpan w:val="2"/>
          </w:tcPr>
          <w:p>
            <w:pPr>
              <w:jc w:val="center"/>
              <w:ind w:right="780"/>
              <w:spacing w:after="0" w:line="201" w:lineRule="exact"/>
              <w:rPr>
                <w:sz w:val="20"/>
                <w:szCs w:val="20"/>
                <w:color w:val="auto"/>
              </w:rPr>
            </w:pPr>
            <w:r>
              <w:rPr>
                <w:rFonts w:ascii="Arial" w:cs="Arial" w:eastAsia="Arial" w:hAnsi="Arial"/>
                <w:sz w:val="18"/>
                <w:szCs w:val="18"/>
                <w:color w:val="auto"/>
                <w:w w:val="99"/>
              </w:rPr>
              <w:t>US$17.84</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99"/>
              </w:rPr>
              <w:t>US$45,000</w:t>
            </w:r>
          </w:p>
        </w:tc>
      </w:tr>
      <w:tr>
        <w:trPr>
          <w:trHeight w:val="203"/>
        </w:trPr>
        <w:tc>
          <w:tcPr>
            <w:tcW w:w="1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00" w:type="dxa"/>
            <w:vAlign w:val="bottom"/>
            <w:gridSpan w:val="2"/>
          </w:tcPr>
          <w:p>
            <w:pPr>
              <w:jc w:val="center"/>
              <w:ind w:right="760"/>
              <w:spacing w:after="0" w:line="203" w:lineRule="exact"/>
              <w:rPr>
                <w:sz w:val="20"/>
                <w:szCs w:val="20"/>
                <w:color w:val="auto"/>
              </w:rPr>
            </w:pPr>
            <w:r>
              <w:rPr>
                <w:rFonts w:ascii="Arial" w:cs="Arial" w:eastAsia="Arial" w:hAnsi="Arial"/>
                <w:sz w:val="18"/>
                <w:szCs w:val="18"/>
                <w:color w:val="auto"/>
                <w:w w:val="99"/>
              </w:rPr>
              <w:t>September 16, 2019</w:t>
            </w: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03"/>
        </w:trPr>
        <w:tc>
          <w:tcPr>
            <w:tcW w:w="208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9"/>
              </w:rPr>
              <w:t>E</w:t>
            </w:r>
          </w:p>
        </w:tc>
        <w:tc>
          <w:tcPr>
            <w:tcW w:w="2700" w:type="dxa"/>
            <w:vAlign w:val="bottom"/>
            <w:gridSpan w:val="2"/>
            <w:shd w:val="clear" w:color="auto" w:fill="CCEEFF"/>
          </w:tcPr>
          <w:p>
            <w:pPr>
              <w:jc w:val="center"/>
              <w:ind w:right="780"/>
              <w:spacing w:after="0" w:line="202" w:lineRule="exact"/>
              <w:rPr>
                <w:sz w:val="20"/>
                <w:szCs w:val="20"/>
                <w:color w:val="auto"/>
              </w:rPr>
            </w:pPr>
            <w:r>
              <w:rPr>
                <w:rFonts w:ascii="Arial" w:cs="Arial" w:eastAsia="Arial" w:hAnsi="Arial"/>
                <w:sz w:val="18"/>
                <w:szCs w:val="18"/>
                <w:color w:val="auto"/>
                <w:w w:val="99"/>
              </w:rPr>
              <w:t>June 3, 2019</w:t>
            </w:r>
          </w:p>
        </w:tc>
        <w:tc>
          <w:tcPr>
            <w:tcW w:w="10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27,500,098</w:t>
            </w:r>
          </w:p>
        </w:tc>
        <w:tc>
          <w:tcPr>
            <w:tcW w:w="780" w:type="dxa"/>
            <w:vAlign w:val="bottom"/>
            <w:shd w:val="clear" w:color="auto" w:fill="CCEEFF"/>
          </w:tcPr>
          <w:p>
            <w:pPr>
              <w:spacing w:after="0"/>
              <w:rPr>
                <w:sz w:val="17"/>
                <w:szCs w:val="17"/>
                <w:color w:val="auto"/>
              </w:rPr>
            </w:pPr>
          </w:p>
        </w:tc>
        <w:tc>
          <w:tcPr>
            <w:tcW w:w="2540" w:type="dxa"/>
            <w:vAlign w:val="bottom"/>
            <w:gridSpan w:val="2"/>
            <w:shd w:val="clear" w:color="auto" w:fill="CCEEFF"/>
          </w:tcPr>
          <w:p>
            <w:pPr>
              <w:jc w:val="center"/>
              <w:ind w:right="760"/>
              <w:spacing w:after="0" w:line="202" w:lineRule="exact"/>
              <w:rPr>
                <w:sz w:val="20"/>
                <w:szCs w:val="20"/>
                <w:color w:val="auto"/>
              </w:rPr>
            </w:pPr>
            <w:r>
              <w:rPr>
                <w:rFonts w:ascii="Arial" w:cs="Arial" w:eastAsia="Arial" w:hAnsi="Arial"/>
                <w:sz w:val="18"/>
                <w:szCs w:val="18"/>
                <w:color w:val="auto"/>
                <w:w w:val="99"/>
              </w:rPr>
              <w:t>US$0.70</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US$20,115</w:t>
            </w:r>
          </w:p>
        </w:tc>
      </w:tr>
      <w:tr>
        <w:trPr>
          <w:trHeight w:val="202"/>
        </w:trPr>
        <w:tc>
          <w:tcPr>
            <w:tcW w:w="208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rPr>
              <w:t>E+</w:t>
            </w:r>
          </w:p>
        </w:tc>
        <w:tc>
          <w:tcPr>
            <w:tcW w:w="270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w w:val="99"/>
              </w:rPr>
              <w:t>September 4 ~</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4,203,072</w:t>
            </w:r>
          </w:p>
        </w:tc>
        <w:tc>
          <w:tcPr>
            <w:tcW w:w="780" w:type="dxa"/>
            <w:vAlign w:val="bottom"/>
          </w:tcPr>
          <w:p>
            <w:pPr>
              <w:spacing w:after="0"/>
              <w:rPr>
                <w:sz w:val="17"/>
                <w:szCs w:val="17"/>
                <w:color w:val="auto"/>
              </w:rPr>
            </w:pPr>
          </w:p>
        </w:tc>
        <w:tc>
          <w:tcPr>
            <w:tcW w:w="2540" w:type="dxa"/>
            <w:vAlign w:val="bottom"/>
            <w:gridSpan w:val="2"/>
          </w:tcPr>
          <w:p>
            <w:pPr>
              <w:jc w:val="center"/>
              <w:ind w:right="780"/>
              <w:spacing w:after="0" w:line="201" w:lineRule="exact"/>
              <w:rPr>
                <w:sz w:val="20"/>
                <w:szCs w:val="20"/>
                <w:color w:val="auto"/>
              </w:rPr>
            </w:pPr>
            <w:r>
              <w:rPr>
                <w:rFonts w:ascii="Arial" w:cs="Arial" w:eastAsia="Arial" w:hAnsi="Arial"/>
                <w:sz w:val="18"/>
                <w:szCs w:val="18"/>
                <w:color w:val="auto"/>
                <w:w w:val="99"/>
              </w:rPr>
              <w:t>US$17.84</w:t>
            </w:r>
          </w:p>
        </w:tc>
        <w:tc>
          <w:tcPr>
            <w:tcW w:w="1860" w:type="dxa"/>
            <w:vAlign w:val="bottom"/>
          </w:tcPr>
          <w:p>
            <w:pPr>
              <w:jc w:val="center"/>
              <w:spacing w:after="0" w:line="201" w:lineRule="exact"/>
              <w:rPr>
                <w:sz w:val="20"/>
                <w:szCs w:val="20"/>
                <w:color w:val="auto"/>
              </w:rPr>
            </w:pPr>
            <w:r>
              <w:rPr>
                <w:rFonts w:ascii="Arial" w:cs="Arial" w:eastAsia="Arial" w:hAnsi="Arial"/>
                <w:sz w:val="18"/>
                <w:szCs w:val="18"/>
                <w:color w:val="auto"/>
                <w:w w:val="99"/>
              </w:rPr>
              <w:t>US$75,000</w:t>
            </w:r>
          </w:p>
        </w:tc>
      </w:tr>
      <w:tr>
        <w:trPr>
          <w:trHeight w:val="217"/>
        </w:trPr>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00" w:type="dxa"/>
            <w:vAlign w:val="bottom"/>
            <w:gridSpan w:val="2"/>
          </w:tcPr>
          <w:p>
            <w:pPr>
              <w:jc w:val="center"/>
              <w:ind w:right="760"/>
              <w:spacing w:after="0"/>
              <w:rPr>
                <w:sz w:val="20"/>
                <w:szCs w:val="20"/>
                <w:color w:val="auto"/>
              </w:rPr>
            </w:pPr>
            <w:r>
              <w:rPr>
                <w:rFonts w:ascii="Arial" w:cs="Arial" w:eastAsia="Arial" w:hAnsi="Arial"/>
                <w:sz w:val="18"/>
                <w:szCs w:val="18"/>
                <w:color w:val="auto"/>
                <w:w w:val="99"/>
              </w:rPr>
              <w:t>September 14, 2020</w:t>
            </w: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60" w:type="dxa"/>
            <w:vAlign w:val="bottom"/>
          </w:tcPr>
          <w:p>
            <w:pPr>
              <w:spacing w:after="0"/>
              <w:rPr>
                <w:sz w:val="18"/>
                <w:szCs w:val="18"/>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terms of the Series A, B, C-1, C-2, C-3, D, E convertible redeemable preferred shares are summarized as follows: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26" w:lineRule="exact"/>
        <w:rPr>
          <w:sz w:val="20"/>
          <w:szCs w:val="20"/>
          <w:color w:val="auto"/>
        </w:rPr>
      </w:pPr>
    </w:p>
    <w:p>
      <w:pPr>
        <w:ind w:left="120" w:right="280" w:firstLine="551"/>
        <w:spacing w:after="0" w:line="246" w:lineRule="auto"/>
        <w:rPr>
          <w:sz w:val="20"/>
          <w:szCs w:val="20"/>
          <w:color w:val="auto"/>
        </w:rPr>
      </w:pPr>
      <w:r>
        <w:rPr>
          <w:rFonts w:ascii="Arial" w:cs="Arial" w:eastAsia="Arial" w:hAnsi="Arial"/>
          <w:sz w:val="18"/>
          <w:szCs w:val="18"/>
          <w:color w:val="auto"/>
        </w:rPr>
        <w:t>Each preferred share shall have the right to receive cumulative dividends, on an as-converted basis, when, as and if declared by the Board.</w:t>
      </w:r>
    </w:p>
    <w:p>
      <w:pPr>
        <w:spacing w:after="0" w:line="197"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order of distribution shall be made from holders of Series E convertible redeemable preferred shares, holders of Series D convertible redeemable preferred shares, holders of Series C-3 convertible redeemable preferred shares and holders of Series C-1 and C-2 convertible redeemable preferred shares, holders of Series B convertible redeemable preferred shares to holders of Series A convertible redeemable preferred shares. No dividend shall be paid on the ordinary shares at any time unless and until all dividends on the convertible redeemable preferred shares have been paid in full.</w:t>
      </w:r>
    </w:p>
    <w:p>
      <w:pPr>
        <w:spacing w:after="0" w:line="202"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In the event the Company declares dividends, for holder of Series A convertible redeemable preferred shares, the non-cumulative is at the rate of 8% of issue price, for holder of Series B, C-1, C-2, C-3, D and E convertible redeemable preferred shares, the cumulative dividend is at the rate of 8% of issue price.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dividends have been declared on the convertible redeemable preferred shares.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any liquidation or deemed liquidation event, whether voluntary or involuntary, all assets and funds of the</w:t>
      </w:r>
    </w:p>
    <w:p>
      <w:pPr>
        <w:ind w:left="120"/>
        <w:spacing w:after="0"/>
        <w:rPr>
          <w:sz w:val="20"/>
          <w:szCs w:val="20"/>
          <w:color w:val="auto"/>
        </w:rPr>
      </w:pPr>
      <w:r>
        <w:rPr>
          <w:rFonts w:ascii="Arial" w:cs="Arial" w:eastAsia="Arial" w:hAnsi="Arial"/>
          <w:sz w:val="18"/>
          <w:szCs w:val="18"/>
          <w:color w:val="auto"/>
        </w:rPr>
        <w:t>Company legally available for distribution shall be distributed to the shareholders in the following order and manner:</w:t>
      </w:r>
    </w:p>
    <w:p>
      <w:pPr>
        <w:spacing w:after="0" w:line="212" w:lineRule="exact"/>
        <w:rPr>
          <w:sz w:val="20"/>
          <w:szCs w:val="20"/>
          <w:color w:val="auto"/>
        </w:rPr>
      </w:pPr>
    </w:p>
    <w:p>
      <w:pPr>
        <w:ind w:left="120" w:right="280" w:firstLine="551"/>
        <w:spacing w:after="0"/>
        <w:rPr>
          <w:sz w:val="20"/>
          <w:szCs w:val="20"/>
          <w:color w:val="auto"/>
        </w:rPr>
      </w:pPr>
      <w:r>
        <w:rPr>
          <w:rFonts w:ascii="Arial" w:cs="Arial" w:eastAsia="Arial" w:hAnsi="Arial"/>
          <w:sz w:val="18"/>
          <w:szCs w:val="18"/>
          <w:color w:val="auto"/>
        </w:rPr>
        <w:t>Holders of convertible redeemable preferred shares of later series have preference to the distribution of assets or funds over holders of convertible redeemable preferred shares of earlier series and holders of ordinary shares, in the following sequence: Series E convertible redeemable preferred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5760" w:hanging="4"/>
        <w:spacing w:after="0" w:line="380" w:lineRule="auto"/>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Convertible redeemable preferred shares—(Continued) </w:t>
      </w:r>
      <w:r>
        <w:rPr>
          <w:rFonts w:ascii="Arial" w:cs="Arial" w:eastAsia="Arial" w:hAnsi="Arial"/>
          <w:sz w:val="18"/>
          <w:szCs w:val="18"/>
          <w:b w:val="1"/>
          <w:bCs w:val="1"/>
          <w:i w:val="1"/>
          <w:iCs w:val="1"/>
          <w:color w:val="auto"/>
        </w:rPr>
        <w:t>Liquidation Rights—(Continued)</w:t>
      </w:r>
    </w:p>
    <w:p>
      <w:pPr>
        <w:spacing w:after="0" w:line="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shares, holders of Series D convertible redeemable preferred shares, holders of Series C-3 convertible redeemable preferred shares and holders of Series C-1 and C-2 convertible redeemable preferred shares, holders of Series B convertible redeemable preferred shares to holders of Series A convertible redeemable preferred shares. The amount of preference will be equal to 150% of the issuance price plus any and all declared but unpaid dividends.</w:t>
      </w:r>
    </w:p>
    <w:p>
      <w:pPr>
        <w:spacing w:after="0" w:line="20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After distribution to the holder of convertible redeemable preferred shares the amount of preference, all remaining assets and funds of the Company available for distribution to the shareholders shall be distributed ratably among all the shareholders on a fully diluted basis.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26"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7"/>
          <w:szCs w:val="17"/>
          <w:color w:val="auto"/>
        </w:rPr>
        <w:t>The holders of the convertible redeemable preferred shares have the rights to convert of the preferred shares into ordinary shares at an initial conversion ratio of one for one at the option of the holders at any time. The initial conversion price is the issuance price of preferred shares, subject to adjustment in the event of (1) share split, share consolidation, share dividend or other similar event, and</w:t>
      </w:r>
    </w:p>
    <w:p>
      <w:pPr>
        <w:spacing w:after="0" w:line="2" w:lineRule="exact"/>
        <w:rPr>
          <w:sz w:val="20"/>
          <w:szCs w:val="20"/>
          <w:color w:val="auto"/>
        </w:rPr>
      </w:pPr>
    </w:p>
    <w:p>
      <w:pPr>
        <w:ind w:left="120" w:right="20" w:hanging="4"/>
        <w:spacing w:after="0"/>
        <w:tabs>
          <w:tab w:leader="none" w:pos="39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issuance of new securities at a price per share less than the conversion price in effect on the date of or immediately prior to such issuance. In that case, the conversion price shall be reduced concurrently to the subscription price of such issuance. Each preferred share shall automatically be converted, into ordinary shares upon the closing of a Qualified IPO.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preferred share confers the right to receive notice of, attend and vote at any general meeting of members on</w:t>
      </w:r>
    </w:p>
    <w:p>
      <w:pPr>
        <w:ind w:left="120" w:right="140"/>
        <w:spacing w:after="0" w:line="246" w:lineRule="auto"/>
        <w:rPr>
          <w:sz w:val="20"/>
          <w:szCs w:val="20"/>
          <w:color w:val="auto"/>
        </w:rPr>
      </w:pPr>
      <w:r>
        <w:rPr>
          <w:rFonts w:ascii="Arial" w:cs="Arial" w:eastAsia="Arial" w:hAnsi="Arial"/>
          <w:sz w:val="18"/>
          <w:szCs w:val="18"/>
          <w:color w:val="auto"/>
        </w:rPr>
        <w:t>an as-converted basis. The holders of the convertible redeemable preferred shares vote together with the ordinary shareholders, and not as a separate class or series, on all matters put before the shareholders.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26" w:lineRule="exact"/>
        <w:rPr>
          <w:sz w:val="20"/>
          <w:szCs w:val="20"/>
          <w:color w:val="auto"/>
        </w:rPr>
      </w:pPr>
    </w:p>
    <w:p>
      <w:pPr>
        <w:ind w:left="120" w:right="180" w:firstLine="551"/>
        <w:spacing w:after="0" w:line="238" w:lineRule="auto"/>
        <w:rPr>
          <w:sz w:val="20"/>
          <w:szCs w:val="20"/>
          <w:color w:val="auto"/>
        </w:rPr>
      </w:pPr>
      <w:r>
        <w:rPr>
          <w:rFonts w:ascii="Arial" w:cs="Arial" w:eastAsia="Arial" w:hAnsi="Arial"/>
          <w:sz w:val="18"/>
          <w:szCs w:val="18"/>
          <w:color w:val="auto"/>
        </w:rPr>
        <w:t>At the option of a holder of the convertible redeemable preferred shares, the Company shall redeem at the redemption price all or any part of the outstanding convertible redeemable preferred shares, upon breach of contract, or at any time after the redemption start date for each series of convertible redeemable preferred shares. The redemption start date is December 31, 2022 for all series of convertible redeemable preferred shares.</w:t>
      </w:r>
    </w:p>
    <w:p>
      <w:pPr>
        <w:spacing w:after="0" w:line="205"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The redemption price equals to the greater of (1) the issue price with an twenty percent compound per annum for Series A and Series B, or ten percent simple per annum return for Series C-1, C-2 and C-3, Series D and Series E (if the period is less than one year, such return shall be calculated pro rata) to the redemption price payment date, plus all accrued or declared but unpaid dividends or (2) the fair market value of preferred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of Convertible Redeemable Preferred Shares</w:t>
      </w:r>
    </w:p>
    <w:p>
      <w:pPr>
        <w:spacing w:after="0" w:line="126" w:lineRule="exact"/>
        <w:rPr>
          <w:sz w:val="20"/>
          <w:szCs w:val="20"/>
          <w:color w:val="auto"/>
        </w:rPr>
      </w:pPr>
    </w:p>
    <w:p>
      <w:pPr>
        <w:ind w:left="120" w:firstLine="551"/>
        <w:spacing w:after="0" w:line="246" w:lineRule="auto"/>
        <w:rPr>
          <w:sz w:val="20"/>
          <w:szCs w:val="20"/>
          <w:color w:val="auto"/>
        </w:rPr>
      </w:pPr>
      <w:r>
        <w:rPr>
          <w:rFonts w:ascii="Arial" w:cs="Arial" w:eastAsia="Arial" w:hAnsi="Arial"/>
          <w:sz w:val="18"/>
          <w:szCs w:val="18"/>
          <w:color w:val="auto"/>
        </w:rPr>
        <w:t>The Company classified all preferred shares as mezzanine equity in the consolidated balance sheets because they are redeemable at the holders’ option any time after a certain date and are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2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right="4960" w:hanging="4"/>
        <w:spacing w:after="0" w:line="403" w:lineRule="auto"/>
        <w:tabs>
          <w:tab w:leader="none" w:pos="660"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redeemable preferred shares—(Continued) </w:t>
      </w:r>
      <w:r>
        <w:rPr>
          <w:rFonts w:ascii="Arial" w:cs="Arial" w:eastAsia="Arial" w:hAnsi="Arial"/>
          <w:sz w:val="17"/>
          <w:szCs w:val="17"/>
          <w:b w:val="1"/>
          <w:bCs w:val="1"/>
          <w:i w:val="1"/>
          <w:iCs w:val="1"/>
          <w:color w:val="auto"/>
        </w:rPr>
        <w:t>Accounting of Convertible Redeemable Preferred Shares—(Continued)</w:t>
      </w:r>
    </w:p>
    <w:p>
      <w:pPr>
        <w:ind w:left="120" w:right="120"/>
        <w:spacing w:after="0" w:line="246" w:lineRule="auto"/>
        <w:rPr>
          <w:sz w:val="20"/>
          <w:szCs w:val="20"/>
          <w:color w:val="auto"/>
        </w:rPr>
      </w:pPr>
      <w:r>
        <w:rPr>
          <w:rFonts w:ascii="Arial" w:cs="Arial" w:eastAsia="Arial" w:hAnsi="Arial"/>
          <w:sz w:val="18"/>
          <w:szCs w:val="18"/>
          <w:color w:val="auto"/>
        </w:rPr>
        <w:t>contingently redeemable upon the occurrence of certain liquidation events outside of the Company’s control. The convertible redeemable preferred shares are recorded initially at fair value, net of issuance costs.</w:t>
      </w:r>
    </w:p>
    <w:p>
      <w:pPr>
        <w:spacing w:after="0" w:line="197"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records accretion on the convertible redeemable preferred shares to the redemption value from the issuance dates to the earliest redemption dates. The accretion, calculated as the current redemption value, is recorded against retained earnings, or in the absence of retained earnings, by charging against additional paid-in capital. Once additional paid-in capital has been exhausted, additional charges are recorded by increasing the accumulated deficit. The accretion of convertible redeemable preferred shares was RMB878,319, RMB877,999 and RMB1,304,498 for the years ended December 31, 2018, 2019 and 2020, respectively.</w:t>
      </w:r>
    </w:p>
    <w:p>
      <w:pPr>
        <w:spacing w:after="0" w:line="202"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The Company determined that the embedded conversion features and the redemption features do not require bifurcation as they either are clearly and closely related to the convertible redeemable preferred shares or do not meet the definition of a derivative.</w:t>
      </w:r>
    </w:p>
    <w:p>
      <w:pPr>
        <w:spacing w:after="0" w:line="197"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The Company has determined that there was no beneficial conversion feature attributable to all convertible redeemable preferred shares because the initial effective conversion prices of these convertible redeemable preferred shares were higher than the fair value of the Company’s ordinary shares determined by the Company taking into account independent valuations.</w:t>
      </w:r>
    </w:p>
    <w:p>
      <w:pPr>
        <w:spacing w:after="0" w:line="329" w:lineRule="exact"/>
        <w:rPr>
          <w:sz w:val="20"/>
          <w:szCs w:val="20"/>
          <w:color w:val="auto"/>
        </w:rPr>
      </w:pPr>
    </w:p>
    <w:p>
      <w:pPr>
        <w:ind w:left="660" w:hanging="544"/>
        <w:spacing w:after="0"/>
        <w:tabs>
          <w:tab w:leader="none" w:pos="6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26"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order to provide additional incentives to employees and to promote the success of the Group’s business, the Group adopted the share incentive plan since 2010, which permits the granting of share options to employees, and management of the Group. Additionally, the share incentive plan includes a condition where employees can only exercise vested options upon the occurrence of the Company’s ordinary shares becoming listed securities, which substantially creates a performance condition (“IPO Condition”) that has not been met. Therefore, since the adoption of the share incentive plan, the Group has not recognized any stock-based compensation expenses related to the options granted. The Group granted 4,696,068, 4,074,384 and 1,726,988 share options to certain of its employees in the 2018, 2019 and 2020, respectively. The options expire in ten years from the date of grant.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compensation—(Continued)</w:t>
      </w:r>
    </w:p>
    <w:p>
      <w:pPr>
        <w:spacing w:after="0" w:line="139" w:lineRule="exact"/>
        <w:rPr>
          <w:sz w:val="20"/>
          <w:szCs w:val="20"/>
          <w:color w:val="auto"/>
        </w:rPr>
      </w:pPr>
    </w:p>
    <w:p>
      <w:pPr>
        <w:ind w:left="120" w:right="480" w:firstLine="551"/>
        <w:spacing w:after="0" w:line="246" w:lineRule="auto"/>
        <w:rPr>
          <w:sz w:val="20"/>
          <w:szCs w:val="20"/>
          <w:color w:val="auto"/>
        </w:rPr>
      </w:pPr>
      <w:r>
        <w:rPr>
          <w:rFonts w:ascii="Arial" w:cs="Arial" w:eastAsia="Arial" w:hAnsi="Arial"/>
          <w:sz w:val="18"/>
          <w:szCs w:val="18"/>
          <w:color w:val="auto"/>
        </w:rPr>
        <w:t>In determining the fair value of the stock options, the binomial option pricing model was applied. The key assumptions used to determine the fair value of the options at the respective grant dates in 2018, 2018 and 2020 were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For the years ended December 31,</w:t>
            </w:r>
          </w:p>
        </w:tc>
        <w:tc>
          <w:tcPr>
            <w:tcW w:w="2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3400" w:type="dxa"/>
            <w:vAlign w:val="bottom"/>
            <w:tcBorders>
              <w:bottom w:val="single" w:sz="8" w:color="CCEEFF"/>
            </w:tcBorders>
          </w:tcPr>
          <w:p>
            <w:pPr>
              <w:spacing w:after="0"/>
              <w:rPr>
                <w:sz w:val="13"/>
                <w:szCs w:val="13"/>
                <w:color w:val="auto"/>
              </w:rPr>
            </w:pPr>
          </w:p>
        </w:tc>
        <w:tc>
          <w:tcPr>
            <w:tcW w:w="2300" w:type="dxa"/>
            <w:vAlign w:val="bottom"/>
            <w:tcBorders>
              <w:bottom w:val="single" w:sz="8" w:color="auto"/>
            </w:tcBorders>
          </w:tcPr>
          <w:p>
            <w:pPr>
              <w:jc w:val="right"/>
              <w:ind w:right="89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3"/>
                <w:szCs w:val="13"/>
                <w:color w:val="auto"/>
              </w:rPr>
            </w:pPr>
          </w:p>
        </w:tc>
        <w:tc>
          <w:tcPr>
            <w:tcW w:w="2440" w:type="dxa"/>
            <w:vAlign w:val="bottom"/>
            <w:tcBorders>
              <w:bottom w:val="single" w:sz="8" w:color="auto"/>
            </w:tcBorders>
          </w:tcPr>
          <w:p>
            <w:pPr>
              <w:jc w:val="right"/>
              <w:ind w:right="97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2460" w:type="dxa"/>
            <w:vAlign w:val="bottom"/>
            <w:tcBorders>
              <w:bottom w:val="single" w:sz="8" w:color="auto"/>
            </w:tcBorders>
          </w:tcPr>
          <w:p>
            <w:pPr>
              <w:jc w:val="right"/>
              <w:ind w:right="99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w:t>
            </w:r>
          </w:p>
        </w:tc>
        <w:tc>
          <w:tcPr>
            <w:tcW w:w="23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47.59%~50.39%</w:t>
            </w:r>
          </w:p>
        </w:tc>
        <w:tc>
          <w:tcPr>
            <w:tcW w:w="18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45.98%~46.55%</w:t>
            </w:r>
          </w:p>
        </w:tc>
        <w:tc>
          <w:tcPr>
            <w:tcW w:w="160" w:type="dxa"/>
            <w:vAlign w:val="bottom"/>
            <w:shd w:val="clear" w:color="auto" w:fill="CCEEFF"/>
          </w:tcPr>
          <w:p>
            <w:pPr>
              <w:spacing w:after="0"/>
              <w:rPr>
                <w:sz w:val="17"/>
                <w:szCs w:val="17"/>
                <w:color w:val="auto"/>
              </w:rPr>
            </w:pPr>
          </w:p>
        </w:tc>
        <w:tc>
          <w:tcPr>
            <w:tcW w:w="2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47.28%~48.09%</w:t>
            </w:r>
          </w:p>
        </w:tc>
        <w:tc>
          <w:tcPr>
            <w:tcW w:w="80" w:type="dxa"/>
            <w:vAlign w:val="bottom"/>
            <w:shd w:val="clear" w:color="auto" w:fill="CCEEFF"/>
          </w:tcPr>
          <w:p>
            <w:pPr>
              <w:spacing w:after="0"/>
              <w:rPr>
                <w:sz w:val="17"/>
                <w:szCs w:val="17"/>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Risk-free interest rate (per annum)</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9"/>
              </w:rPr>
              <w:t>2.69%-3.06%</w:t>
            </w:r>
          </w:p>
        </w:tc>
        <w:tc>
          <w:tcPr>
            <w:tcW w:w="180" w:type="dxa"/>
            <w:vAlign w:val="bottom"/>
          </w:tcPr>
          <w:p>
            <w:pPr>
              <w:spacing w:after="0"/>
              <w:rPr>
                <w:sz w:val="17"/>
                <w:szCs w:val="17"/>
                <w:color w:val="auto"/>
              </w:rPr>
            </w:pPr>
          </w:p>
        </w:tc>
        <w:tc>
          <w:tcPr>
            <w:tcW w:w="2440" w:type="dxa"/>
            <w:vAlign w:val="bottom"/>
          </w:tcPr>
          <w:p>
            <w:pPr>
              <w:jc w:val="center"/>
              <w:spacing w:after="0" w:line="202" w:lineRule="exact"/>
              <w:rPr>
                <w:sz w:val="20"/>
                <w:szCs w:val="20"/>
                <w:color w:val="auto"/>
              </w:rPr>
            </w:pPr>
            <w:r>
              <w:rPr>
                <w:rFonts w:ascii="Arial" w:cs="Arial" w:eastAsia="Arial" w:hAnsi="Arial"/>
                <w:sz w:val="18"/>
                <w:szCs w:val="18"/>
                <w:color w:val="auto"/>
              </w:rPr>
              <w:t>1.67%~2.41%</w:t>
            </w:r>
          </w:p>
        </w:tc>
        <w:tc>
          <w:tcPr>
            <w:tcW w:w="160" w:type="dxa"/>
            <w:vAlign w:val="bottom"/>
          </w:tcPr>
          <w:p>
            <w:pPr>
              <w:spacing w:after="0"/>
              <w:rPr>
                <w:sz w:val="17"/>
                <w:szCs w:val="17"/>
                <w:color w:val="auto"/>
              </w:rPr>
            </w:pPr>
          </w:p>
        </w:tc>
        <w:tc>
          <w:tcPr>
            <w:tcW w:w="2460" w:type="dxa"/>
            <w:vAlign w:val="bottom"/>
          </w:tcPr>
          <w:p>
            <w:pPr>
              <w:jc w:val="center"/>
              <w:spacing w:after="0" w:line="202" w:lineRule="exact"/>
              <w:rPr>
                <w:sz w:val="20"/>
                <w:szCs w:val="20"/>
                <w:color w:val="auto"/>
              </w:rPr>
            </w:pPr>
            <w:r>
              <w:rPr>
                <w:rFonts w:ascii="Arial" w:cs="Arial" w:eastAsia="Arial" w:hAnsi="Arial"/>
                <w:sz w:val="18"/>
                <w:szCs w:val="18"/>
                <w:color w:val="auto"/>
                <w:w w:val="99"/>
              </w:rPr>
              <w:t>0.66%~0.92%</w:t>
            </w:r>
          </w:p>
        </w:tc>
        <w:tc>
          <w:tcPr>
            <w:tcW w:w="80" w:type="dxa"/>
            <w:vAlign w:val="bottom"/>
          </w:tcPr>
          <w:p>
            <w:pPr>
              <w:spacing w:after="0"/>
              <w:rPr>
                <w:sz w:val="17"/>
                <w:szCs w:val="17"/>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 multiples</w:t>
            </w:r>
          </w:p>
        </w:tc>
        <w:tc>
          <w:tcPr>
            <w:tcW w:w="2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2.2~2.8</w:t>
            </w:r>
          </w:p>
        </w:tc>
        <w:tc>
          <w:tcPr>
            <w:tcW w:w="180" w:type="dxa"/>
            <w:vAlign w:val="bottom"/>
            <w:shd w:val="clear" w:color="auto" w:fill="CCEEFF"/>
          </w:tcPr>
          <w:p>
            <w:pPr>
              <w:spacing w:after="0"/>
              <w:rPr>
                <w:sz w:val="17"/>
                <w:szCs w:val="17"/>
                <w:color w:val="auto"/>
              </w:rPr>
            </w:pPr>
          </w:p>
        </w:tc>
        <w:tc>
          <w:tcPr>
            <w:tcW w:w="2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2.2~2.8</w:t>
            </w:r>
          </w:p>
        </w:tc>
        <w:tc>
          <w:tcPr>
            <w:tcW w:w="160" w:type="dxa"/>
            <w:vAlign w:val="bottom"/>
            <w:shd w:val="clear" w:color="auto" w:fill="CCEEFF"/>
          </w:tcPr>
          <w:p>
            <w:pPr>
              <w:spacing w:after="0"/>
              <w:rPr>
                <w:sz w:val="17"/>
                <w:szCs w:val="17"/>
                <w:color w:val="auto"/>
              </w:rPr>
            </w:pPr>
          </w:p>
        </w:tc>
        <w:tc>
          <w:tcPr>
            <w:tcW w:w="24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2.2~2.8</w:t>
            </w:r>
          </w:p>
        </w:tc>
        <w:tc>
          <w:tcPr>
            <w:tcW w:w="80" w:type="dxa"/>
            <w:vAlign w:val="bottom"/>
            <w:shd w:val="clear" w:color="auto" w:fill="CCEEFF"/>
          </w:tcPr>
          <w:p>
            <w:pPr>
              <w:spacing w:after="0"/>
              <w:rPr>
                <w:sz w:val="17"/>
                <w:szCs w:val="17"/>
                <w:color w:val="auto"/>
              </w:rPr>
            </w:pPr>
          </w:p>
        </w:tc>
      </w:tr>
      <w:tr>
        <w:trPr>
          <w:trHeight w:val="203"/>
        </w:trPr>
        <w:tc>
          <w:tcPr>
            <w:tcW w:w="340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300" w:type="dxa"/>
            <w:vAlign w:val="bottom"/>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180" w:type="dxa"/>
            <w:vAlign w:val="bottom"/>
          </w:tcPr>
          <w:p>
            <w:pPr>
              <w:spacing w:after="0"/>
              <w:rPr>
                <w:sz w:val="17"/>
                <w:szCs w:val="17"/>
                <w:color w:val="auto"/>
              </w:rPr>
            </w:pPr>
          </w:p>
        </w:tc>
        <w:tc>
          <w:tcPr>
            <w:tcW w:w="2440" w:type="dxa"/>
            <w:vAlign w:val="bottom"/>
          </w:tcPr>
          <w:p>
            <w:pPr>
              <w:jc w:val="center"/>
              <w:spacing w:after="0" w:line="202" w:lineRule="exact"/>
              <w:rPr>
                <w:sz w:val="20"/>
                <w:szCs w:val="20"/>
                <w:color w:val="auto"/>
              </w:rPr>
            </w:pPr>
            <w:r>
              <w:rPr>
                <w:rFonts w:ascii="Arial" w:cs="Arial" w:eastAsia="Arial" w:hAnsi="Arial"/>
                <w:sz w:val="18"/>
                <w:szCs w:val="18"/>
                <w:color w:val="auto"/>
                <w:w w:val="97"/>
              </w:rPr>
              <w:t>0.00%</w:t>
            </w:r>
          </w:p>
        </w:tc>
        <w:tc>
          <w:tcPr>
            <w:tcW w:w="160" w:type="dxa"/>
            <w:vAlign w:val="bottom"/>
          </w:tcPr>
          <w:p>
            <w:pPr>
              <w:spacing w:after="0"/>
              <w:rPr>
                <w:sz w:val="17"/>
                <w:szCs w:val="17"/>
                <w:color w:val="auto"/>
              </w:rPr>
            </w:pPr>
          </w:p>
        </w:tc>
        <w:tc>
          <w:tcPr>
            <w:tcW w:w="2460" w:type="dxa"/>
            <w:vAlign w:val="bottom"/>
          </w:tcPr>
          <w:p>
            <w:pPr>
              <w:jc w:val="center"/>
              <w:spacing w:after="0" w:line="202" w:lineRule="exact"/>
              <w:rPr>
                <w:sz w:val="20"/>
                <w:szCs w:val="20"/>
                <w:color w:val="auto"/>
              </w:rPr>
            </w:pPr>
            <w:r>
              <w:rPr>
                <w:rFonts w:ascii="Arial" w:cs="Arial" w:eastAsia="Arial" w:hAnsi="Arial"/>
                <w:sz w:val="18"/>
                <w:szCs w:val="18"/>
                <w:color w:val="auto"/>
              </w:rPr>
              <w:t>0.00%</w:t>
            </w:r>
          </w:p>
        </w:tc>
        <w:tc>
          <w:tcPr>
            <w:tcW w:w="80" w:type="dxa"/>
            <w:vAlign w:val="bottom"/>
          </w:tcPr>
          <w:p>
            <w:pPr>
              <w:spacing w:after="0"/>
              <w:rPr>
                <w:sz w:val="17"/>
                <w:szCs w:val="17"/>
                <w:color w:val="auto"/>
              </w:rPr>
            </w:pPr>
          </w:p>
        </w:tc>
      </w:tr>
      <w:tr>
        <w:trPr>
          <w:trHeight w:val="203"/>
        </w:trPr>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Fair value of underlying ordinary shares</w:t>
            </w:r>
          </w:p>
        </w:tc>
        <w:tc>
          <w:tcPr>
            <w:tcW w:w="248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RMB8.66~ RMB24.79</w:t>
            </w:r>
          </w:p>
        </w:tc>
        <w:tc>
          <w:tcPr>
            <w:tcW w:w="260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RMB24.37~ RMB39.06</w:t>
            </w:r>
          </w:p>
        </w:tc>
        <w:tc>
          <w:tcPr>
            <w:tcW w:w="25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RMB36.02~ RMB47.16</w:t>
            </w:r>
          </w:p>
        </w:tc>
      </w:tr>
      <w:tr>
        <w:trPr>
          <w:trHeight w:val="217"/>
        </w:trPr>
        <w:tc>
          <w:tcPr>
            <w:tcW w:w="3400" w:type="dxa"/>
            <w:vAlign w:val="bottom"/>
          </w:tcPr>
          <w:p>
            <w:pPr>
              <w:spacing w:after="0"/>
              <w:rPr>
                <w:sz w:val="20"/>
                <w:szCs w:val="20"/>
                <w:color w:val="auto"/>
              </w:rPr>
            </w:pPr>
            <w:r>
              <w:rPr>
                <w:rFonts w:ascii="Arial" w:cs="Arial" w:eastAsia="Arial" w:hAnsi="Arial"/>
                <w:sz w:val="18"/>
                <w:szCs w:val="18"/>
                <w:color w:val="auto"/>
              </w:rPr>
              <w:t>Fair value of share option</w:t>
            </w:r>
          </w:p>
        </w:tc>
        <w:tc>
          <w:tcPr>
            <w:tcW w:w="2480" w:type="dxa"/>
            <w:vAlign w:val="bottom"/>
            <w:gridSpan w:val="2"/>
          </w:tcPr>
          <w:p>
            <w:pPr>
              <w:ind w:left="560"/>
              <w:spacing w:after="0"/>
              <w:rPr>
                <w:sz w:val="20"/>
                <w:szCs w:val="20"/>
                <w:color w:val="auto"/>
              </w:rPr>
            </w:pPr>
            <w:r>
              <w:rPr>
                <w:rFonts w:ascii="Arial" w:cs="Arial" w:eastAsia="Arial" w:hAnsi="Arial"/>
                <w:sz w:val="18"/>
                <w:szCs w:val="18"/>
                <w:color w:val="auto"/>
              </w:rPr>
              <w:t>RMB5.11~ RMB24.15</w:t>
            </w:r>
          </w:p>
        </w:tc>
        <w:tc>
          <w:tcPr>
            <w:tcW w:w="2600" w:type="dxa"/>
            <w:vAlign w:val="bottom"/>
            <w:gridSpan w:val="2"/>
          </w:tcPr>
          <w:p>
            <w:pPr>
              <w:ind w:left="580"/>
              <w:spacing w:after="0"/>
              <w:rPr>
                <w:sz w:val="20"/>
                <w:szCs w:val="20"/>
                <w:color w:val="auto"/>
              </w:rPr>
            </w:pPr>
            <w:r>
              <w:rPr>
                <w:rFonts w:ascii="Arial" w:cs="Arial" w:eastAsia="Arial" w:hAnsi="Arial"/>
                <w:sz w:val="18"/>
                <w:szCs w:val="18"/>
                <w:color w:val="auto"/>
              </w:rPr>
              <w:t>RMB23.68~ RMB38.40</w:t>
            </w:r>
          </w:p>
        </w:tc>
        <w:tc>
          <w:tcPr>
            <w:tcW w:w="2540" w:type="dxa"/>
            <w:vAlign w:val="bottom"/>
            <w:gridSpan w:val="2"/>
          </w:tcPr>
          <w:p>
            <w:pPr>
              <w:ind w:left="600"/>
              <w:spacing w:after="0"/>
              <w:rPr>
                <w:sz w:val="20"/>
                <w:szCs w:val="20"/>
                <w:color w:val="auto"/>
              </w:rPr>
            </w:pPr>
            <w:r>
              <w:rPr>
                <w:rFonts w:ascii="Arial" w:cs="Arial" w:eastAsia="Arial" w:hAnsi="Arial"/>
                <w:sz w:val="18"/>
                <w:szCs w:val="18"/>
                <w:color w:val="auto"/>
              </w:rPr>
              <w:t>RMB35.37~ RMB46.53</w:t>
            </w:r>
          </w:p>
        </w:tc>
      </w:tr>
    </w:tbl>
    <w:p>
      <w:pPr>
        <w:spacing w:after="0" w:line="201" w:lineRule="exact"/>
        <w:rPr>
          <w:sz w:val="20"/>
          <w:szCs w:val="20"/>
          <w:color w:val="auto"/>
        </w:rPr>
      </w:pPr>
    </w:p>
    <w:p>
      <w:pPr>
        <w:ind w:left="120" w:right="80" w:firstLine="551"/>
        <w:spacing w:after="0" w:line="237" w:lineRule="auto"/>
        <w:rPr>
          <w:sz w:val="20"/>
          <w:szCs w:val="20"/>
          <w:color w:val="auto"/>
        </w:rPr>
      </w:pPr>
      <w:r>
        <w:rPr>
          <w:rFonts w:ascii="Arial" w:cs="Arial" w:eastAsia="Arial" w:hAnsi="Arial"/>
          <w:sz w:val="18"/>
          <w:szCs w:val="18"/>
          <w:color w:val="auto"/>
        </w:rPr>
        <w:t>The Group estimated expected volatility by reference to the historical price volatilities of ordinary shares of comparable companies over a period close to the contract term of the options. The Group estimated the risk free interest rate based on the yield to maturity of U.S. government bonds at grant date with a maturity period close to the contract term of options, adjusted by country risk differential between U.S. and China. As the Group has had no option exercise history, it estimated exercise multiples based on empirical research on typical employee stock option exercising behavior. The dividend yield was estimated as zero based on the plan to retain profit for corporate expansion and no dividend will be distributed in the near future. The Group determined the fair value of ordinary shares underlying each share option grant based on estimated equity value and allocation of it to each element of its capital structure.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summarized the Group’s share option activities under the Option Plans: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Weighted</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Weighted</w:t>
            </w: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average</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average</w:t>
            </w: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grant date</w:t>
            </w:r>
          </w:p>
        </w:tc>
        <w:tc>
          <w:tcPr>
            <w:tcW w:w="15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remaining</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exercise price</w:t>
            </w: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contractual life</w:t>
            </w: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560" w:type="dxa"/>
            <w:vAlign w:val="bottom"/>
          </w:tcPr>
          <w:p>
            <w:pPr>
              <w:spacing w:after="0"/>
              <w:rPr>
                <w:sz w:val="13"/>
                <w:szCs w:val="13"/>
                <w:color w:val="auto"/>
              </w:rPr>
            </w:pPr>
          </w:p>
        </w:tc>
        <w:tc>
          <w:tcPr>
            <w:tcW w:w="7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56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9"/>
              </w:rPr>
              <w:t>Years</w:t>
            </w:r>
          </w:p>
        </w:tc>
        <w:tc>
          <w:tcPr>
            <w:tcW w:w="56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Outstanding as of December 31, 2017</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b w:val="1"/>
                <w:bCs w:val="1"/>
                <w:color w:val="auto"/>
              </w:rPr>
              <w:t>9,837,147</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0.96</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2.09</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7.81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73,759</w:t>
            </w: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Granted</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color w:val="auto"/>
              </w:rPr>
              <w:t>4,696,068</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color w:val="auto"/>
              </w:rPr>
              <w:t>0.83</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color w:val="auto"/>
              </w:rPr>
              <w:t>11.79</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(1,056,146)</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2.85</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7.09</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Outstanding as of December 31, 2018</w:t>
            </w: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0.80</w:t>
            </w: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5.24</w:t>
            </w:r>
          </w:p>
        </w:tc>
        <w:tc>
          <w:tcPr>
            <w:tcW w:w="15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7.54</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323,268</w:t>
            </w:r>
          </w:p>
        </w:tc>
        <w:tc>
          <w:tcPr>
            <w:tcW w:w="0" w:type="dxa"/>
            <w:vAlign w:val="bottom"/>
          </w:tcPr>
          <w:p>
            <w:pPr>
              <w:spacing w:after="0" w:line="20" w:lineRule="exact"/>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13,477,069</w:t>
            </w:r>
          </w:p>
        </w:tc>
        <w:tc>
          <w:tcPr>
            <w:tcW w:w="15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Granted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4,074,384</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0.69</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32.12</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Forfeited</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color w:val="auto"/>
              </w:rPr>
              <w:t>(1,608,313)</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color w:val="auto"/>
              </w:rPr>
              <w:t>2.06</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color w:val="auto"/>
              </w:rPr>
              <w:t>9.04</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Outstanding as of December 31, 2019</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b w:val="1"/>
                <w:bCs w:val="1"/>
                <w:color w:val="auto"/>
              </w:rPr>
              <w:t>15,943,140</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0.66</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11.88</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7.16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593,890</w:t>
            </w:r>
          </w:p>
        </w:tc>
        <w:tc>
          <w:tcPr>
            <w:tcW w:w="0" w:type="dxa"/>
            <w:vAlign w:val="bottom"/>
          </w:tcPr>
          <w:p>
            <w:pPr>
              <w:spacing w:after="0"/>
              <w:rPr>
                <w:sz w:val="1"/>
                <w:szCs w:val="1"/>
                <w:color w:val="auto"/>
              </w:rPr>
            </w:pPr>
          </w:p>
        </w:tc>
      </w:tr>
      <w:tr>
        <w:trPr>
          <w:trHeight w:val="162"/>
        </w:trPr>
        <w:tc>
          <w:tcPr>
            <w:tcW w:w="4520" w:type="dxa"/>
            <w:vAlign w:val="bottom"/>
          </w:tcPr>
          <w:p>
            <w:pPr>
              <w:ind w:left="280"/>
              <w:spacing w:after="0"/>
              <w:rPr>
                <w:sz w:val="20"/>
                <w:szCs w:val="20"/>
                <w:color w:val="auto"/>
              </w:rPr>
            </w:pPr>
            <w:r>
              <w:rPr>
                <w:rFonts w:ascii="Arial" w:cs="Arial" w:eastAsia="Arial" w:hAnsi="Arial"/>
                <w:sz w:val="14"/>
                <w:szCs w:val="14"/>
                <w:color w:val="auto"/>
              </w:rPr>
              <w:t>Granted</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color w:val="auto"/>
              </w:rPr>
              <w:t>1,726,988</w:t>
            </w:r>
          </w:p>
        </w:tc>
        <w:tc>
          <w:tcPr>
            <w:tcW w:w="1520" w:type="dxa"/>
            <w:vAlign w:val="bottom"/>
            <w:gridSpan w:val="2"/>
          </w:tcPr>
          <w:p>
            <w:pPr>
              <w:jc w:val="right"/>
              <w:ind w:right="560"/>
              <w:spacing w:after="0"/>
              <w:rPr>
                <w:sz w:val="20"/>
                <w:szCs w:val="20"/>
                <w:color w:val="auto"/>
              </w:rPr>
            </w:pPr>
            <w:r>
              <w:rPr>
                <w:rFonts w:ascii="Arial" w:cs="Arial" w:eastAsia="Arial" w:hAnsi="Arial"/>
                <w:sz w:val="14"/>
                <w:szCs w:val="14"/>
                <w:color w:val="auto"/>
              </w:rPr>
              <w:t>0.68</w:t>
            </w:r>
          </w:p>
        </w:tc>
        <w:tc>
          <w:tcPr>
            <w:tcW w:w="1260" w:type="dxa"/>
            <w:vAlign w:val="bottom"/>
            <w:gridSpan w:val="2"/>
          </w:tcPr>
          <w:p>
            <w:pPr>
              <w:jc w:val="right"/>
              <w:ind w:right="560"/>
              <w:spacing w:after="0"/>
              <w:rPr>
                <w:sz w:val="20"/>
                <w:szCs w:val="20"/>
                <w:color w:val="auto"/>
              </w:rPr>
            </w:pPr>
            <w:r>
              <w:rPr>
                <w:rFonts w:ascii="Arial" w:cs="Arial" w:eastAsia="Arial" w:hAnsi="Arial"/>
                <w:sz w:val="14"/>
                <w:szCs w:val="14"/>
                <w:color w:val="auto"/>
              </w:rPr>
              <w:t>40.90</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(3,681,447)</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0.67</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9.90</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Outstanding as of December 31, 2020</w:t>
            </w: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0.61</w:t>
            </w: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14.74</w:t>
            </w:r>
          </w:p>
        </w:tc>
        <w:tc>
          <w:tcPr>
            <w:tcW w:w="15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6.38</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651,182</w:t>
            </w:r>
          </w:p>
        </w:tc>
        <w:tc>
          <w:tcPr>
            <w:tcW w:w="0" w:type="dxa"/>
            <w:vAlign w:val="bottom"/>
          </w:tcPr>
          <w:p>
            <w:pPr>
              <w:spacing w:after="0" w:line="20" w:lineRule="exact"/>
              <w:rPr>
                <w:sz w:val="1"/>
                <w:szCs w:val="1"/>
                <w:color w:val="auto"/>
              </w:rPr>
            </w:pPr>
          </w:p>
        </w:tc>
      </w:tr>
      <w:tr>
        <w:trPr>
          <w:trHeight w:val="169"/>
        </w:trPr>
        <w:tc>
          <w:tcPr>
            <w:tcW w:w="4520" w:type="dxa"/>
            <w:vAlign w:val="bottom"/>
            <w:vMerge w:val="continue"/>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13,988,681</w:t>
            </w:r>
          </w:p>
        </w:tc>
        <w:tc>
          <w:tcPr>
            <w:tcW w:w="15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Expect to vest at December 31, 2020</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4"/>
                <w:szCs w:val="14"/>
                <w:color w:val="auto"/>
              </w:rPr>
              <w:t>13,988,681</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0.61</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14.74</w:t>
            </w:r>
          </w:p>
        </w:tc>
        <w:tc>
          <w:tcPr>
            <w:tcW w:w="158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6.38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651,182</w:t>
            </w:r>
          </w:p>
        </w:tc>
        <w:tc>
          <w:tcPr>
            <w:tcW w:w="0" w:type="dxa"/>
            <w:vAlign w:val="bottom"/>
          </w:tcPr>
          <w:p>
            <w:pPr>
              <w:spacing w:after="0"/>
              <w:rPr>
                <w:sz w:val="1"/>
                <w:szCs w:val="1"/>
                <w:color w:val="auto"/>
              </w:rPr>
            </w:pPr>
          </w:p>
        </w:tc>
      </w:tr>
      <w:tr>
        <w:trPr>
          <w:trHeight w:val="177"/>
        </w:trPr>
        <w:tc>
          <w:tcPr>
            <w:tcW w:w="4520" w:type="dxa"/>
            <w:vAlign w:val="bottom"/>
          </w:tcPr>
          <w:p>
            <w:pPr>
              <w:spacing w:after="0"/>
              <w:rPr>
                <w:sz w:val="20"/>
                <w:szCs w:val="20"/>
                <w:color w:val="auto"/>
              </w:rPr>
            </w:pPr>
            <w:r>
              <w:rPr>
                <w:rFonts w:ascii="Arial" w:cs="Arial" w:eastAsia="Arial" w:hAnsi="Arial"/>
                <w:sz w:val="14"/>
                <w:szCs w:val="14"/>
                <w:color w:val="auto"/>
              </w:rPr>
              <w:t>Exercisable at December 31, 2020</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20" w:right="300" w:firstLine="551"/>
        <w:spacing w:after="0" w:line="246" w:lineRule="auto"/>
        <w:rPr>
          <w:sz w:val="20"/>
          <w:szCs w:val="20"/>
          <w:color w:val="auto"/>
        </w:rPr>
      </w:pPr>
      <w:r>
        <w:rPr>
          <w:rFonts w:ascii="Arial" w:cs="Arial" w:eastAsia="Arial" w:hAnsi="Arial"/>
          <w:sz w:val="18"/>
          <w:szCs w:val="18"/>
          <w:color w:val="auto"/>
        </w:rPr>
        <w:t>As of December 31, 2020, share-based compensation of RMB91,755 would be recognized immediately if the IPO Condition had been met.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compensation—(Continued)</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there were RMB124,150 of total unrecognized compensation expenses related to options for the future</w:t>
      </w:r>
    </w:p>
    <w:p>
      <w:pPr>
        <w:ind w:left="120"/>
        <w:spacing w:after="0"/>
        <w:rPr>
          <w:sz w:val="20"/>
          <w:szCs w:val="20"/>
          <w:color w:val="auto"/>
        </w:rPr>
      </w:pPr>
      <w:r>
        <w:rPr>
          <w:rFonts w:ascii="Arial" w:cs="Arial" w:eastAsia="Arial" w:hAnsi="Arial"/>
          <w:sz w:val="18"/>
          <w:szCs w:val="18"/>
          <w:color w:val="auto"/>
        </w:rPr>
        <w:t>period.</w:t>
      </w:r>
    </w:p>
    <w:p>
      <w:pPr>
        <w:spacing w:after="0" w:line="338" w:lineRule="exact"/>
        <w:rPr>
          <w:sz w:val="20"/>
          <w:szCs w:val="20"/>
          <w:color w:val="auto"/>
        </w:rPr>
      </w:pPr>
    </w:p>
    <w:p>
      <w:pPr>
        <w:ind w:left="660" w:hanging="544"/>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ordinary shareholders</w:t>
      </w:r>
    </w:p>
    <w:p>
      <w:pPr>
        <w:spacing w:after="0" w:line="126" w:lineRule="exact"/>
        <w:rPr>
          <w:sz w:val="20"/>
          <w:szCs w:val="20"/>
          <w:color w:val="auto"/>
        </w:rPr>
      </w:pPr>
    </w:p>
    <w:p>
      <w:pPr>
        <w:ind w:left="660" w:right="280" w:firstLine="523"/>
        <w:spacing w:after="0" w:line="238" w:lineRule="auto"/>
        <w:rPr>
          <w:sz w:val="20"/>
          <w:szCs w:val="20"/>
          <w:color w:val="auto"/>
        </w:rPr>
      </w:pPr>
      <w:r>
        <w:rPr>
          <w:rFonts w:ascii="Arial" w:cs="Arial" w:eastAsia="Arial" w:hAnsi="Arial"/>
          <w:sz w:val="18"/>
          <w:szCs w:val="18"/>
          <w:color w:val="auto"/>
        </w:rPr>
        <w:t>Basic and diluted net loss per share for each of the year presented were calculated as follows. The Group had convertible redeemable preferred shares (Note 13), share options (Note 13) and convertible bonds (Note 12) which could potentially dilute basic earnings per ordinary share in the future. The calculation of diluted net loss per share does not include the effect of share options, conversions of convertible bonds and convertible redeemable preferred shares at total 84,855,392, 117,343,405 and 119,874,641 shares as for years ended December 31, 2018, 2019 and 2020 as the effect of the inclusion was anti-dilutive.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2780" w:type="dxa"/>
            <w:vAlign w:val="bottom"/>
            <w:tcBorders>
              <w:bottom w:val="single" w:sz="8" w:color="auto"/>
            </w:tcBorders>
            <w:gridSpan w:val="5"/>
          </w:tcPr>
          <w:p>
            <w:pPr>
              <w:jc w:val="center"/>
              <w:ind w:left="837"/>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7160" w:type="dxa"/>
            <w:vAlign w:val="bottom"/>
          </w:tcPr>
          <w:p>
            <w:pPr>
              <w:spacing w:after="0"/>
              <w:rPr>
                <w:sz w:val="13"/>
                <w:szCs w:val="13"/>
                <w:color w:val="auto"/>
              </w:rPr>
            </w:pPr>
          </w:p>
        </w:tc>
        <w:tc>
          <w:tcPr>
            <w:tcW w:w="106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5"/>
        </w:trPr>
        <w:tc>
          <w:tcPr>
            <w:tcW w:w="7160" w:type="dxa"/>
            <w:vAlign w:val="bottom"/>
          </w:tcPr>
          <w:p>
            <w:pPr>
              <w:spacing w:after="0"/>
              <w:rPr>
                <w:sz w:val="13"/>
                <w:szCs w:val="13"/>
                <w:color w:val="auto"/>
              </w:rPr>
            </w:pPr>
          </w:p>
        </w:tc>
        <w:tc>
          <w:tcPr>
            <w:tcW w:w="1060" w:type="dxa"/>
            <w:vAlign w:val="bottom"/>
          </w:tcPr>
          <w:p>
            <w:pPr>
              <w:jc w:val="right"/>
              <w:ind w:right="297"/>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ind w:left="22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(207,941)</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(704,888)</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(470,618)</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to convertible redeemable preferred shares redemption value</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(878,319)</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(877,999)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(1,304,498)</w:t>
            </w:r>
          </w:p>
        </w:tc>
      </w:tr>
      <w:tr>
        <w:trPr>
          <w:trHeight w:val="20"/>
        </w:trPr>
        <w:tc>
          <w:tcPr>
            <w:tcW w:w="7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(1,086,260)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(1,582,887)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(1,775,116)</w:t>
            </w:r>
          </w:p>
        </w:tc>
      </w:tr>
      <w:tr>
        <w:trPr>
          <w:trHeight w:val="115"/>
        </w:trPr>
        <w:tc>
          <w:tcPr>
            <w:tcW w:w="71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rPr>
              <w:t>Weighted average number of ordinary shares used in computing basic and diluted loss</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7160" w:type="dxa"/>
            <w:vAlign w:val="bottom"/>
          </w:tcPr>
          <w:p>
            <w:pPr>
              <w:ind w:left="180"/>
              <w:spacing w:after="0"/>
              <w:rPr>
                <w:sz w:val="20"/>
                <w:szCs w:val="20"/>
                <w:color w:val="auto"/>
              </w:rPr>
            </w:pPr>
            <w:r>
              <w:rPr>
                <w:rFonts w:ascii="Arial" w:cs="Arial" w:eastAsia="Arial" w:hAnsi="Arial"/>
                <w:sz w:val="18"/>
                <w:szCs w:val="18"/>
                <w:color w:val="auto"/>
              </w:rPr>
              <w:t>per ordinary share</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19,405,981</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18,782,620</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18,782,620</w:t>
            </w:r>
          </w:p>
        </w:tc>
      </w:tr>
      <w:tr>
        <w:trPr>
          <w:trHeight w:val="94"/>
        </w:trPr>
        <w:tc>
          <w:tcPr>
            <w:tcW w:w="7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per ordinary share basic and diluted</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(55.98)</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(84.27)</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(94.51)</w:t>
            </w:r>
          </w:p>
        </w:tc>
      </w:tr>
    </w:tbl>
    <w:p>
      <w:pPr>
        <w:spacing w:after="0" w:line="342" w:lineRule="exact"/>
        <w:rPr>
          <w:sz w:val="20"/>
          <w:szCs w:val="20"/>
          <w:color w:val="auto"/>
        </w:rPr>
      </w:pPr>
    </w:p>
    <w:p>
      <w:pPr>
        <w:ind w:left="660" w:hanging="544"/>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 and net restrictive assets</w:t>
      </w:r>
    </w:p>
    <w:p>
      <w:pPr>
        <w:spacing w:after="0" w:line="12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Company’s ability to pay dividends is primarily dependent on the Company receiving distributions of funds from its subsidiaries. Relevant PRC statutory laws and regulations permit payments of dividends by the Company’s PRC subsidiaries, VIE and VIE subsidiaries incorporated in PRC only out of their retained earnings, if any, as determined in accordance with PRC accounting standards and regulations. The consolidated results of operations reflected in the consolidated financial statements prepared in accordance with U.S. GAAP differ from those reflected in the statutory financial statements of the Company’s subsidiaries.</w:t>
      </w:r>
    </w:p>
    <w:p>
      <w:pPr>
        <w:spacing w:after="0" w:line="202" w:lineRule="exact"/>
        <w:rPr>
          <w:sz w:val="20"/>
          <w:szCs w:val="20"/>
          <w:color w:val="auto"/>
        </w:rPr>
      </w:pPr>
    </w:p>
    <w:p>
      <w:pPr>
        <w:ind w:left="120" w:right="60" w:firstLine="551"/>
        <w:spacing w:after="0" w:line="237" w:lineRule="auto"/>
        <w:rPr>
          <w:sz w:val="20"/>
          <w:szCs w:val="20"/>
          <w:color w:val="auto"/>
        </w:rPr>
      </w:pPr>
      <w:r>
        <w:rPr>
          <w:rFonts w:ascii="Arial" w:cs="Arial" w:eastAsia="Arial" w:hAnsi="Arial"/>
          <w:sz w:val="18"/>
          <w:szCs w:val="18"/>
          <w:color w:val="auto"/>
        </w:rPr>
        <w:t>Under PRC law, the Company’s subsidiaries and consolidated VIEs located in the PRC (collectively referred as the (“PRC entities”) are required to provide for certain statutory reserves, namely a general reserve, an enterprise expansion fund and a staff welfare and bonus fund. The PRC entities are required to allocate at least 10% of their after tax profits on an individual company basis as determined under PRC accounting standards to the statutory reserve and has the right to discontinue allocations to the statutory reserve if such reserve has reached 50% of registered capital on an individual company basis. In addition, the paid-in capital of the PRC entities is also restricted.</w:t>
      </w:r>
    </w:p>
    <w:p>
      <w:pPr>
        <w:spacing w:after="0" w:line="205" w:lineRule="exact"/>
        <w:rPr>
          <w:sz w:val="20"/>
          <w:szCs w:val="20"/>
          <w:color w:val="auto"/>
        </w:rPr>
      </w:pPr>
    </w:p>
    <w:p>
      <w:pPr>
        <w:ind w:left="120" w:right="140" w:firstLine="551"/>
        <w:spacing w:after="0" w:line="246" w:lineRule="auto"/>
        <w:rPr>
          <w:sz w:val="20"/>
          <w:szCs w:val="20"/>
          <w:color w:val="auto"/>
        </w:rPr>
      </w:pPr>
      <w:r>
        <w:rPr>
          <w:rFonts w:ascii="Arial" w:cs="Arial" w:eastAsia="Arial" w:hAnsi="Arial"/>
          <w:sz w:val="18"/>
          <w:szCs w:val="18"/>
          <w:color w:val="auto"/>
        </w:rPr>
        <w:t>The balance of restricted net assets was RMB183,429, RMB186,629 and RMB207,206 as of December 31, 2018, 2019 and 2020,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table below sets forth major related parties and their relationships with the Group:</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Company Name</w:t>
            </w: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rPr>
              <w:t>Relationship with the Group</w:t>
            </w:r>
          </w:p>
        </w:tc>
      </w:tr>
      <w:tr>
        <w:trPr>
          <w:trHeight w:val="20"/>
        </w:trPr>
        <w:tc>
          <w:tcPr>
            <w:tcW w:w="10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r>
      <w:tr>
        <w:trPr>
          <w:trHeight w:val="189"/>
        </w:trPr>
        <w:tc>
          <w:tcPr>
            <w:tcW w:w="5740" w:type="dxa"/>
            <w:vAlign w:val="bottom"/>
            <w:gridSpan w:val="2"/>
          </w:tcPr>
          <w:p>
            <w:pPr>
              <w:spacing w:after="0" w:line="189" w:lineRule="exact"/>
              <w:rPr>
                <w:sz w:val="20"/>
                <w:szCs w:val="20"/>
                <w:color w:val="auto"/>
              </w:rPr>
            </w:pPr>
            <w:r>
              <w:rPr>
                <w:rFonts w:ascii="Arial" w:cs="Arial" w:eastAsia="Arial" w:hAnsi="Arial"/>
                <w:sz w:val="18"/>
                <w:szCs w:val="18"/>
                <w:color w:val="auto"/>
              </w:rPr>
              <w:t>JD and its subsidiaries (“JD Group”)</w:t>
            </w:r>
          </w:p>
        </w:tc>
        <w:tc>
          <w:tcPr>
            <w:tcW w:w="5280" w:type="dxa"/>
            <w:vAlign w:val="bottom"/>
          </w:tcPr>
          <w:p>
            <w:pPr>
              <w:jc w:val="center"/>
              <w:spacing w:after="0" w:line="189" w:lineRule="exact"/>
              <w:rPr>
                <w:sz w:val="20"/>
                <w:szCs w:val="20"/>
                <w:color w:val="auto"/>
              </w:rPr>
            </w:pPr>
            <w:r>
              <w:rPr>
                <w:rFonts w:ascii="Arial" w:cs="Arial" w:eastAsia="Arial" w:hAnsi="Arial"/>
                <w:sz w:val="18"/>
                <w:szCs w:val="18"/>
                <w:color w:val="auto"/>
              </w:rPr>
              <w:t>A shareholder of the Group</w:t>
            </w:r>
          </w:p>
        </w:tc>
      </w:tr>
      <w:tr>
        <w:trPr>
          <w:trHeight w:val="202"/>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5Y Capital’s affiliates (“5Y Capital”, previously known as</w:t>
            </w:r>
          </w:p>
        </w:tc>
        <w:tc>
          <w:tcPr>
            <w:tcW w:w="5280" w:type="dxa"/>
            <w:vAlign w:val="bottom"/>
          </w:tcPr>
          <w:p>
            <w:pPr>
              <w:spacing w:after="0"/>
              <w:rPr>
                <w:sz w:val="17"/>
                <w:szCs w:val="17"/>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“Morningside”)</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rPr>
              <w:t>A shareholder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Baowu (Beijing) Technology Co., Ltd (“Baowu”)</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Beijing Xichen Technology Co., Ltd and its subsidiaries (“Xichen</w:t>
            </w:r>
          </w:p>
        </w:tc>
        <w:tc>
          <w:tcPr>
            <w:tcW w:w="5280" w:type="dxa"/>
            <w:vAlign w:val="bottom"/>
          </w:tcPr>
          <w:p>
            <w:pPr>
              <w:spacing w:after="0"/>
              <w:rPr>
                <w:sz w:val="17"/>
                <w:szCs w:val="17"/>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Group”)</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Fuzhou Ruifeng Renewable resources Co., Ltd (“Ruifeng”)</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Jinsong (Shanghai) Network Information Technology Co., Ltd</w:t>
            </w:r>
          </w:p>
        </w:tc>
        <w:tc>
          <w:tcPr>
            <w:tcW w:w="5280" w:type="dxa"/>
            <w:vAlign w:val="bottom"/>
          </w:tcPr>
          <w:p>
            <w:pPr>
              <w:spacing w:after="0"/>
              <w:rPr>
                <w:sz w:val="17"/>
                <w:szCs w:val="17"/>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(“Jinsong”)</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Manak Waste Management Private Limited (“Manak”)</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Shanghai Meda Information Technology Co., Ltd (“Meda”)</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Shanghai Yuekun Environmental Protection Technology Co., Ltd</w:t>
            </w:r>
          </w:p>
        </w:tc>
        <w:tc>
          <w:tcPr>
            <w:tcW w:w="5280" w:type="dxa"/>
            <w:vAlign w:val="bottom"/>
          </w:tcPr>
          <w:p>
            <w:pPr>
              <w:spacing w:after="0"/>
              <w:rPr>
                <w:sz w:val="17"/>
                <w:szCs w:val="17"/>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(“Yuekun”)</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 Subsidiary of 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Shanghai Yueqing Information Technology Co., Ltd (“Yueqing”)</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Shenzhen Aileyou Information Technology Co., Ltd (“Aileyou”)</w:t>
            </w:r>
          </w:p>
        </w:tc>
        <w:tc>
          <w:tcPr>
            <w:tcW w:w="528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17"/>
        </w:trPr>
        <w:tc>
          <w:tcPr>
            <w:tcW w:w="5740" w:type="dxa"/>
            <w:vAlign w:val="bottom"/>
            <w:gridSpan w:val="2"/>
          </w:tcPr>
          <w:p>
            <w:pPr>
              <w:spacing w:after="0"/>
              <w:rPr>
                <w:sz w:val="20"/>
                <w:szCs w:val="20"/>
                <w:color w:val="auto"/>
              </w:rPr>
            </w:pPr>
            <w:r>
              <w:rPr>
                <w:rFonts w:ascii="Arial" w:cs="Arial" w:eastAsia="Arial" w:hAnsi="Arial"/>
                <w:sz w:val="18"/>
                <w:szCs w:val="18"/>
                <w:color w:val="auto"/>
              </w:rPr>
              <w:t>Shanghai Yueyie Network Information Technology Co., Ltd (“Yueyie”)</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An investee of the Group</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2018, 2019 and 2020, significant related party transactions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6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47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478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70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700" w:type="dxa"/>
            <w:vAlign w:val="bottom"/>
          </w:tcPr>
          <w:p>
            <w:pPr>
              <w:jc w:val="right"/>
              <w:ind w:right="95"/>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860" w:type="dxa"/>
            <w:vAlign w:val="bottom"/>
          </w:tcPr>
          <w:p>
            <w:pPr>
              <w:jc w:val="right"/>
              <w:ind w:right="175"/>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Service Revenue</w:t>
            </w:r>
          </w:p>
        </w:tc>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Consultation service provided to Manak</w:t>
            </w:r>
          </w:p>
        </w:tc>
        <w:tc>
          <w:tcPr>
            <w:tcW w:w="358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6,364</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94"/>
        </w:trPr>
        <w:tc>
          <w:tcPr>
            <w:tcW w:w="47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Product Revenue</w:t>
            </w:r>
          </w:p>
        </w:tc>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Products sold to Xichen Group</w:t>
            </w:r>
          </w:p>
        </w:tc>
        <w:tc>
          <w:tcPr>
            <w:tcW w:w="4440" w:type="dxa"/>
            <w:vAlign w:val="bottom"/>
            <w:gridSpan w:val="3"/>
          </w:tcPr>
          <w:p>
            <w:pPr>
              <w:jc w:val="right"/>
              <w:ind w:right="160"/>
              <w:spacing w:after="0"/>
              <w:rPr>
                <w:sz w:val="20"/>
                <w:szCs w:val="20"/>
                <w:color w:val="auto"/>
              </w:rPr>
            </w:pPr>
            <w:r>
              <w:rPr>
                <w:rFonts w:ascii="Arial" w:cs="Arial" w:eastAsia="Arial" w:hAnsi="Arial"/>
                <w:sz w:val="18"/>
                <w:szCs w:val="18"/>
                <w:color w:val="auto"/>
              </w:rPr>
              <w:t>16,356</w:t>
            </w: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94"/>
        </w:trPr>
        <w:tc>
          <w:tcPr>
            <w:tcW w:w="47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Merchandise costs</w:t>
            </w:r>
          </w:p>
        </w:tc>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Purchase from JD Group</w:t>
            </w:r>
          </w:p>
        </w:tc>
        <w:tc>
          <w:tcPr>
            <w:tcW w:w="358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8,073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25,440</w:t>
            </w:r>
          </w:p>
        </w:tc>
      </w:tr>
      <w:tr>
        <w:trPr>
          <w:trHeight w:val="94"/>
        </w:trPr>
        <w:tc>
          <w:tcPr>
            <w:tcW w:w="4780" w:type="dxa"/>
            <w:vAlign w:val="bottom"/>
          </w:tcPr>
          <w:p>
            <w:pPr>
              <w:spacing w:after="0"/>
              <w:rPr>
                <w:sz w:val="8"/>
                <w:szCs w:val="8"/>
                <w:color w:val="auto"/>
              </w:rPr>
            </w:pPr>
          </w:p>
        </w:tc>
        <w:tc>
          <w:tcPr>
            <w:tcW w:w="3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Selling and marketing expenses</w:t>
            </w:r>
          </w:p>
        </w:tc>
        <w:tc>
          <w:tcPr>
            <w:tcW w:w="3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4780" w:type="dxa"/>
            <w:vAlign w:val="bottom"/>
          </w:tcPr>
          <w:p>
            <w:pPr>
              <w:spacing w:after="0" w:line="202" w:lineRule="exact"/>
              <w:rPr>
                <w:sz w:val="20"/>
                <w:szCs w:val="20"/>
                <w:color w:val="auto"/>
              </w:rPr>
            </w:pPr>
            <w:r>
              <w:rPr>
                <w:rFonts w:ascii="Arial" w:cs="Arial" w:eastAsia="Arial" w:hAnsi="Arial"/>
                <w:sz w:val="18"/>
                <w:szCs w:val="18"/>
                <w:color w:val="auto"/>
              </w:rPr>
              <w:t>Commission service received from JD Group</w:t>
            </w:r>
          </w:p>
        </w:tc>
        <w:tc>
          <w:tcPr>
            <w:tcW w:w="44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21,049</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82,637</w:t>
            </w:r>
          </w:p>
        </w:tc>
        <w:tc>
          <w:tcPr>
            <w:tcW w:w="9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166,079</w:t>
            </w: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received from Aileyou</w:t>
            </w:r>
          </w:p>
        </w:tc>
        <w:tc>
          <w:tcPr>
            <w:tcW w:w="35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2,019</w:t>
            </w:r>
          </w:p>
        </w:tc>
      </w:tr>
      <w:tr>
        <w:trPr>
          <w:trHeight w:val="310"/>
        </w:trPr>
        <w:tc>
          <w:tcPr>
            <w:tcW w:w="478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from loans provided to related parties</w:t>
            </w:r>
          </w:p>
        </w:tc>
        <w:tc>
          <w:tcPr>
            <w:tcW w:w="444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668</w:t>
            </w: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672</w:t>
            </w:r>
          </w:p>
        </w:tc>
        <w:tc>
          <w:tcPr>
            <w:tcW w:w="9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1,750</w:t>
            </w:r>
          </w:p>
        </w:tc>
      </w:tr>
      <w:tr>
        <w:trPr>
          <w:trHeight w:val="365"/>
        </w:trPr>
        <w:tc>
          <w:tcPr>
            <w:tcW w:w="4780" w:type="dxa"/>
            <w:vAlign w:val="bottom"/>
          </w:tcPr>
          <w:p>
            <w:pPr>
              <w:spacing w:after="0"/>
              <w:rPr>
                <w:sz w:val="24"/>
                <w:szCs w:val="24"/>
                <w:color w:val="auto"/>
              </w:rPr>
            </w:pPr>
          </w:p>
        </w:tc>
        <w:tc>
          <w:tcPr>
            <w:tcW w:w="4440" w:type="dxa"/>
            <w:vAlign w:val="bottom"/>
            <w:gridSpan w:val="3"/>
          </w:tcPr>
          <w:p>
            <w:pPr>
              <w:ind w:left="540"/>
              <w:spacing w:after="0"/>
              <w:rPr>
                <w:sz w:val="20"/>
                <w:szCs w:val="20"/>
                <w:color w:val="auto"/>
              </w:rPr>
            </w:pPr>
            <w:r>
              <w:rPr>
                <w:rFonts w:ascii="Arial" w:cs="Arial" w:eastAsia="Arial" w:hAnsi="Arial"/>
                <w:sz w:val="18"/>
                <w:szCs w:val="18"/>
                <w:color w:val="auto"/>
              </w:rPr>
              <w:t>F-44</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17.</w:t>
        <w:tab/>
        <w:t>Related party transactions—(Continued)</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10"/>
          </w:tcPr>
          <w:p>
            <w:pPr>
              <w:jc w:val="right"/>
              <w:ind w:right="460"/>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8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84"/>
        </w:trPr>
        <w:tc>
          <w:tcPr>
            <w:tcW w:w="8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RMB</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5"/>
                <w:szCs w:val="15"/>
                <w:color w:val="auto"/>
              </w:rPr>
            </w:pPr>
          </w:p>
        </w:tc>
      </w:tr>
      <w:tr>
        <w:trPr>
          <w:trHeight w:val="80"/>
        </w:trPr>
        <w:tc>
          <w:tcPr>
            <w:tcW w:w="8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Amount due from related parties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Loan to Jinsong</w:t>
            </w:r>
          </w:p>
        </w:tc>
        <w:tc>
          <w:tcPr>
            <w:tcW w:w="8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32,866</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75,000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to Yueqing</w:t>
            </w:r>
          </w:p>
        </w:tc>
        <w:tc>
          <w:tcPr>
            <w:tcW w:w="8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Loan to Meda</w:t>
            </w:r>
          </w:p>
        </w:tc>
        <w:tc>
          <w:tcPr>
            <w:tcW w:w="8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600</w:t>
            </w:r>
          </w:p>
        </w:tc>
        <w:tc>
          <w:tcPr>
            <w:tcW w:w="120" w:type="dxa"/>
            <w:vAlign w:val="bottom"/>
          </w:tcPr>
          <w:p>
            <w:pPr>
              <w:spacing w:after="0"/>
              <w:rPr>
                <w:sz w:val="17"/>
                <w:szCs w:val="17"/>
                <w:color w:val="auto"/>
              </w:rPr>
            </w:pPr>
          </w:p>
        </w:tc>
        <w:tc>
          <w:tcPr>
            <w:tcW w:w="104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to Yuekun</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81,600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138,332</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Loan to Aileyou</w:t>
            </w:r>
          </w:p>
        </w:tc>
        <w:tc>
          <w:tcPr>
            <w:tcW w:w="100" w:type="dxa"/>
            <w:vAlign w:val="bottom"/>
          </w:tcPr>
          <w:p>
            <w:pPr>
              <w:spacing w:after="0"/>
              <w:rPr>
                <w:sz w:val="17"/>
                <w:szCs w:val="17"/>
                <w:color w:val="auto"/>
              </w:rPr>
            </w:pPr>
          </w:p>
        </w:tc>
        <w:tc>
          <w:tcPr>
            <w:tcW w:w="86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3,900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2,400</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Repayments from Jinsong</w:t>
            </w:r>
          </w:p>
        </w:tc>
        <w:tc>
          <w:tcPr>
            <w:tcW w:w="8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26,069</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81,797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Repayments from Yuekun</w:t>
            </w:r>
          </w:p>
        </w:tc>
        <w:tc>
          <w:tcPr>
            <w:tcW w:w="100" w:type="dxa"/>
            <w:vAlign w:val="bottom"/>
          </w:tcPr>
          <w:p>
            <w:pPr>
              <w:spacing w:after="0"/>
              <w:rPr>
                <w:sz w:val="17"/>
                <w:szCs w:val="17"/>
                <w:color w:val="auto"/>
              </w:rPr>
            </w:pPr>
          </w:p>
        </w:tc>
        <w:tc>
          <w:tcPr>
            <w:tcW w:w="860" w:type="dxa"/>
            <w:vAlign w:val="bottom"/>
            <w:gridSpan w:val="4"/>
          </w:tcPr>
          <w:p>
            <w:pPr>
              <w:ind w:left="4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20,062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175,755</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Repayments from Aileyou</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2,911</w:t>
            </w:r>
          </w:p>
        </w:tc>
      </w:tr>
      <w:tr>
        <w:trPr>
          <w:trHeight w:val="432"/>
        </w:trPr>
        <w:tc>
          <w:tcPr>
            <w:tcW w:w="8260" w:type="dxa"/>
            <w:vAlign w:val="bottom"/>
            <w:gridSpan w:val="2"/>
          </w:tcPr>
          <w:p>
            <w:pPr>
              <w:ind w:left="540"/>
              <w:spacing w:after="0"/>
              <w:rPr>
                <w:sz w:val="20"/>
                <w:szCs w:val="20"/>
                <w:color w:val="auto"/>
              </w:rPr>
            </w:pPr>
            <w:r>
              <w:rPr>
                <w:rFonts w:ascii="Arial" w:cs="Arial" w:eastAsia="Arial" w:hAnsi="Arial"/>
                <w:sz w:val="18"/>
                <w:szCs w:val="18"/>
                <w:color w:val="auto"/>
              </w:rPr>
              <w:t>As of December 31, 2018, 2019 and 2020, the amount due from/to related parties are as follows: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8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jc w:val="center"/>
              <w:ind w:left="375"/>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8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5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8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55"/>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from JD Group (3)</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32,350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115,395</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165,626</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from Jinsong</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Loans provided to Jinsong</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6,797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2"/>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receivables from Jinsong</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44,941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45,407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45,661</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from Yueqing</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Loans provided to Yueqing (1)</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9,500</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from Xichen Group</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3,500</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from Ruifeng</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Loans provided to Ruifeng (1)</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from Baowu</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2,500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from Meda</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Loans provided to Meda (1)</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1,200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from Yuekun</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Loans provided to Yuekun (1)</w:t>
            </w:r>
          </w:p>
        </w:tc>
        <w:tc>
          <w:tcPr>
            <w:tcW w:w="100" w:type="dxa"/>
            <w:vAlign w:val="bottom"/>
          </w:tcPr>
          <w:p>
            <w:pPr>
              <w:spacing w:after="0"/>
              <w:rPr>
                <w:sz w:val="17"/>
                <w:szCs w:val="17"/>
                <w:color w:val="auto"/>
              </w:rPr>
            </w:pPr>
          </w:p>
        </w:tc>
        <w:tc>
          <w:tcPr>
            <w:tcW w:w="8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61,538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24,115</w:t>
            </w:r>
          </w:p>
        </w:tc>
      </w:tr>
      <w:tr>
        <w:trPr>
          <w:trHeight w:val="203"/>
        </w:trPr>
        <w:tc>
          <w:tcPr>
            <w:tcW w:w="8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receivables from Yuekun</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16,177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26,668</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from Aileyou</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Loans provided to Aileyou</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2,380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1,869</w:t>
            </w: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Other receivables from Aileyou</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3,230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12,217</w:t>
            </w:r>
          </w:p>
        </w:tc>
      </w:tr>
      <w:tr>
        <w:trPr>
          <w:trHeight w:val="27"/>
        </w:trPr>
        <w:tc>
          <w:tcPr>
            <w:tcW w:w="8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107,788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265,227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289,156</w:t>
            </w: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260" w:type="dxa"/>
            <w:vAlign w:val="bottom"/>
            <w:gridSpan w:val="2"/>
          </w:tcPr>
          <w:p>
            <w:pPr>
              <w:spacing w:after="0" w:line="196" w:lineRule="exact"/>
              <w:rPr>
                <w:sz w:val="20"/>
                <w:szCs w:val="20"/>
                <w:color w:val="auto"/>
              </w:rPr>
            </w:pPr>
            <w:r>
              <w:rPr>
                <w:rFonts w:ascii="Arial" w:cs="Arial" w:eastAsia="Arial" w:hAnsi="Arial"/>
                <w:sz w:val="18"/>
                <w:szCs w:val="18"/>
                <w:color w:val="auto"/>
              </w:rPr>
              <w:t>Due to JD Group</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subscription from JD Group (4)</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35,000</w:t>
            </w:r>
          </w:p>
        </w:tc>
      </w:tr>
      <w:tr>
        <w:trPr>
          <w:trHeight w:val="203"/>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payables to JD Group (2)</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7,975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74,218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44,688</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to 5Y Capital</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2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Convertible loan due to 5Y Capital</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33,423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33,423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33,423</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from Jinsong</w:t>
            </w:r>
          </w:p>
        </w:tc>
        <w:tc>
          <w:tcPr>
            <w:tcW w:w="80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to Manak</w:t>
            </w:r>
          </w:p>
        </w:tc>
        <w:tc>
          <w:tcPr>
            <w:tcW w:w="80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6,177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r>
      <w:tr>
        <w:trPr>
          <w:trHeight w:val="203"/>
        </w:trPr>
        <w:tc>
          <w:tcPr>
            <w:tcW w:w="8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to Aileyou</w:t>
            </w:r>
          </w:p>
        </w:tc>
        <w:tc>
          <w:tcPr>
            <w:tcW w:w="1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1,384</w:t>
            </w:r>
          </w:p>
        </w:tc>
      </w:tr>
      <w:tr>
        <w:trPr>
          <w:trHeight w:val="202"/>
        </w:trPr>
        <w:tc>
          <w:tcPr>
            <w:tcW w:w="8260" w:type="dxa"/>
            <w:vAlign w:val="bottom"/>
            <w:gridSpan w:val="2"/>
          </w:tcPr>
          <w:p>
            <w:pPr>
              <w:spacing w:after="0" w:line="202" w:lineRule="exact"/>
              <w:rPr>
                <w:sz w:val="20"/>
                <w:szCs w:val="20"/>
                <w:color w:val="auto"/>
              </w:rPr>
            </w:pPr>
            <w:r>
              <w:rPr>
                <w:rFonts w:ascii="Arial" w:cs="Arial" w:eastAsia="Arial" w:hAnsi="Arial"/>
                <w:sz w:val="18"/>
                <w:szCs w:val="18"/>
                <w:color w:val="auto"/>
              </w:rPr>
              <w:t>Due to Yuekun</w:t>
            </w:r>
          </w:p>
        </w:tc>
        <w:tc>
          <w:tcPr>
            <w:tcW w:w="100" w:type="dxa"/>
            <w:vAlign w:val="bottom"/>
          </w:tcPr>
          <w:p>
            <w:pPr>
              <w:spacing w:after="0"/>
              <w:rPr>
                <w:sz w:val="17"/>
                <w:szCs w:val="17"/>
                <w:color w:val="auto"/>
              </w:rPr>
            </w:pPr>
          </w:p>
        </w:tc>
        <w:tc>
          <w:tcPr>
            <w:tcW w:w="860" w:type="dxa"/>
            <w:vAlign w:val="bottom"/>
            <w:gridSpan w:val="4"/>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4"/>
          </w:tcPr>
          <w:p>
            <w:pPr>
              <w:ind w:left="44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118</w:t>
            </w: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to Yueyie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w:t>
            </w:r>
          </w:p>
        </w:tc>
      </w:tr>
      <w:tr>
        <w:trPr>
          <w:trHeight w:val="20"/>
        </w:trPr>
        <w:tc>
          <w:tcPr>
            <w:tcW w:w="8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47,825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107,864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114,669</w:t>
            </w: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8260" w:type="dxa"/>
            <w:vAlign w:val="bottom"/>
            <w:gridSpan w:val="2"/>
          </w:tcPr>
          <w:p>
            <w:pPr>
              <w:ind w:left="532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7715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8" w:lineRule="exact"/>
        <w:rPr>
          <w:sz w:val="20"/>
          <w:szCs w:val="20"/>
          <w:color w:val="auto"/>
        </w:rPr>
      </w:pPr>
    </w:p>
    <w:p>
      <w:pPr>
        <w:ind w:left="660" w:right="40" w:hanging="544"/>
        <w:spacing w:after="0" w:line="234"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relation to the loans provided to Yueqing, Ruifeng and Yuekun, the Group signed one year agreement and charged them with interest rate of 8%, 12% and 7% respectively. Loans to other related parties are interest free and due on demand. The Founder has provided guarantee on loans to Yuekun, and the loans were collateralized by his shareholdings in the Company. The Group recorded provision of allowance for amount due from Ruifeng and Meda of RMB4,000 and RMB600, respectively, for the year ended December 31, 2020.</w:t>
      </w:r>
    </w:p>
    <w:p>
      <w:pPr>
        <w:spacing w:after="0" w:line="3"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Other payables to JD Group mainly includes channel commissions payable to JD Group.</w:t>
      </w:r>
    </w:p>
    <w:p>
      <w:pPr>
        <w:ind w:left="660" w:right="440" w:hanging="544"/>
        <w:spacing w:after="0" w:line="234"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Amount due from JD Group includes funds receivables from payment service providers of JD Group, and cash collected by JD Group from third party merchants on behalf of the Group.</w:t>
      </w:r>
    </w:p>
    <w:p>
      <w:pPr>
        <w:spacing w:after="0" w:line="1" w:lineRule="exact"/>
        <w:rPr>
          <w:rFonts w:ascii="Arial" w:cs="Arial" w:eastAsia="Arial" w:hAnsi="Arial"/>
          <w:sz w:val="18"/>
          <w:szCs w:val="18"/>
          <w:color w:val="auto"/>
        </w:rPr>
      </w:pPr>
    </w:p>
    <w:p>
      <w:pPr>
        <w:ind w:left="660" w:right="120" w:hanging="544"/>
        <w:spacing w:after="0" w:line="246"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amount represents RMB35,000 prepaid subscription from an entity of JD Group for Series E convertible redeemable preferred shares. The issuance of preferred shares is upon ODI approval, otherwise the amount will be refunded to the investor.</w:t>
      </w:r>
    </w:p>
    <w:p>
      <w:pPr>
        <w:spacing w:after="0" w:line="323" w:lineRule="exact"/>
        <w:rPr>
          <w:sz w:val="20"/>
          <w:szCs w:val="20"/>
          <w:color w:val="auto"/>
        </w:rPr>
      </w:pPr>
    </w:p>
    <w:p>
      <w:pPr>
        <w:ind w:left="660" w:right="7660" w:hanging="544"/>
        <w:spacing w:after="0" w:line="394" w:lineRule="auto"/>
        <w:tabs>
          <w:tab w:leader="none" w:pos="649"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u w:val="single" w:color="auto"/>
          <w:color w:val="auto"/>
        </w:rPr>
        <w:t>Operating lease commitments</w:t>
      </w:r>
    </w:p>
    <w:p>
      <w:pPr>
        <w:spacing w:after="0" w:line="1"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The Group has leased office and store premises under operating lease agreements for the periods from 2021 to 2023.</w:t>
      </w:r>
    </w:p>
    <w:p>
      <w:pPr>
        <w:spacing w:after="0" w:line="212" w:lineRule="exact"/>
        <w:rPr>
          <w:sz w:val="20"/>
          <w:szCs w:val="20"/>
          <w:color w:val="auto"/>
        </w:rPr>
      </w:pPr>
    </w:p>
    <w:p>
      <w:pPr>
        <w:ind w:left="120" w:right="100" w:firstLine="551"/>
        <w:spacing w:after="0" w:line="246" w:lineRule="auto"/>
        <w:rPr>
          <w:sz w:val="20"/>
          <w:szCs w:val="20"/>
          <w:color w:val="auto"/>
        </w:rPr>
      </w:pPr>
      <w:r>
        <w:rPr>
          <w:rFonts w:ascii="Arial" w:cs="Arial" w:eastAsia="Arial" w:hAnsi="Arial"/>
          <w:sz w:val="18"/>
          <w:szCs w:val="18"/>
          <w:color w:val="auto"/>
        </w:rPr>
        <w:t>Rental expenses amounted to RMB44,571, RMB83,093 and RMB87,681 for the years ended December 31, 2018, 2019 and 2020, respectively. Rental expenses are charged to the consolidated statements of operations and comprehensive loss when incurred.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480" w:type="dxa"/>
            <w:vAlign w:val="bottom"/>
          </w:tcPr>
          <w:p>
            <w:pPr>
              <w:spacing w:after="0"/>
              <w:rPr>
                <w:sz w:val="18"/>
                <w:szCs w:val="18"/>
                <w:color w:val="auto"/>
              </w:rPr>
            </w:pPr>
          </w:p>
        </w:tc>
        <w:tc>
          <w:tcPr>
            <w:tcW w:w="10540" w:type="dxa"/>
            <w:vAlign w:val="bottom"/>
            <w:gridSpan w:val="4"/>
          </w:tcPr>
          <w:p>
            <w:pPr>
              <w:ind w:left="60"/>
              <w:spacing w:after="0"/>
              <w:rPr>
                <w:sz w:val="20"/>
                <w:szCs w:val="20"/>
                <w:color w:val="auto"/>
              </w:rPr>
            </w:pPr>
            <w:r>
              <w:rPr>
                <w:rFonts w:ascii="Arial" w:cs="Arial" w:eastAsia="Arial" w:hAnsi="Arial"/>
                <w:sz w:val="18"/>
                <w:szCs w:val="18"/>
                <w:color w:val="auto"/>
              </w:rPr>
              <w:t>Future minimum lease payment under non-cancelable operating lease agreements are as follow:</w:t>
            </w:r>
          </w:p>
        </w:tc>
      </w:tr>
      <w:tr>
        <w:trPr>
          <w:trHeight w:val="378"/>
        </w:trPr>
        <w:tc>
          <w:tcPr>
            <w:tcW w:w="48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r>
      <w:tr>
        <w:trPr>
          <w:trHeight w:val="175"/>
        </w:trPr>
        <w:tc>
          <w:tcPr>
            <w:tcW w:w="480" w:type="dxa"/>
            <w:vAlign w:val="bottom"/>
          </w:tcPr>
          <w:p>
            <w:pPr>
              <w:spacing w:after="0"/>
              <w:rPr>
                <w:sz w:val="15"/>
                <w:szCs w:val="15"/>
                <w:color w:val="auto"/>
              </w:rPr>
            </w:pPr>
          </w:p>
        </w:tc>
        <w:tc>
          <w:tcPr>
            <w:tcW w:w="10480" w:type="dxa"/>
            <w:vAlign w:val="bottom"/>
            <w:gridSpan w:val="2"/>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48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1340" w:type="dxa"/>
            <w:vAlign w:val="bottom"/>
            <w:tcBorders>
              <w:top w:val="single" w:sz="8" w:color="auto"/>
            </w:tcBorders>
          </w:tcPr>
          <w:p>
            <w:pPr>
              <w:jc w:val="right"/>
              <w:ind w:right="422"/>
              <w:spacing w:after="0" w:line="155" w:lineRule="exact"/>
              <w:rPr>
                <w:sz w:val="20"/>
                <w:szCs w:val="20"/>
                <w:color w:val="auto"/>
              </w:rPr>
            </w:pPr>
            <w:r>
              <w:rPr>
                <w:rFonts w:ascii="Arial" w:cs="Arial" w:eastAsia="Arial" w:hAnsi="Arial"/>
                <w:sz w:val="14"/>
                <w:szCs w:val="14"/>
                <w:b w:val="1"/>
                <w:bCs w:val="1"/>
                <w:color w:val="auto"/>
              </w:rPr>
              <w:t>RMB</w:t>
            </w:r>
          </w:p>
        </w:tc>
        <w:tc>
          <w:tcPr>
            <w:tcW w:w="60" w:type="dxa"/>
            <w:vAlign w:val="bottom"/>
            <w:gridSpan w:val="2"/>
          </w:tcPr>
          <w:p>
            <w:pPr>
              <w:spacing w:after="0"/>
              <w:rPr>
                <w:sz w:val="13"/>
                <w:szCs w:val="13"/>
                <w:color w:val="auto"/>
              </w:rPr>
            </w:pPr>
          </w:p>
        </w:tc>
      </w:tr>
      <w:tr>
        <w:trPr>
          <w:trHeight w:val="203"/>
        </w:trPr>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2021</w:t>
            </w:r>
          </w:p>
        </w:tc>
        <w:tc>
          <w:tcPr>
            <w:tcW w:w="105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9,808</w:t>
            </w:r>
          </w:p>
        </w:tc>
        <w:tc>
          <w:tcPr>
            <w:tcW w:w="40" w:type="dxa"/>
            <w:vAlign w:val="bottom"/>
            <w:shd w:val="clear" w:color="auto" w:fill="CCEEFF"/>
          </w:tcPr>
          <w:p>
            <w:pPr>
              <w:spacing w:after="0"/>
              <w:rPr>
                <w:sz w:val="17"/>
                <w:szCs w:val="17"/>
                <w:color w:val="auto"/>
              </w:rPr>
            </w:pPr>
          </w:p>
        </w:tc>
      </w:tr>
      <w:tr>
        <w:trPr>
          <w:trHeight w:val="203"/>
        </w:trPr>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4"/>
              </w:rPr>
              <w:t>2022</w:t>
            </w:r>
          </w:p>
        </w:tc>
        <w:tc>
          <w:tcPr>
            <w:tcW w:w="105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5,011</w:t>
            </w:r>
          </w:p>
        </w:tc>
        <w:tc>
          <w:tcPr>
            <w:tcW w:w="40" w:type="dxa"/>
            <w:vAlign w:val="bottom"/>
          </w:tcPr>
          <w:p>
            <w:pPr>
              <w:spacing w:after="0"/>
              <w:rPr>
                <w:sz w:val="17"/>
                <w:szCs w:val="17"/>
                <w:color w:val="auto"/>
              </w:rPr>
            </w:pPr>
          </w:p>
        </w:tc>
      </w:tr>
      <w:tr>
        <w:trPr>
          <w:trHeight w:val="203"/>
        </w:trPr>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2023</w:t>
            </w:r>
          </w:p>
        </w:tc>
        <w:tc>
          <w:tcPr>
            <w:tcW w:w="9140" w:type="dxa"/>
            <w:vAlign w:val="bottom"/>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2,588</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480" w:type="dxa"/>
            <w:vAlign w:val="bottom"/>
          </w:tcPr>
          <w:p>
            <w:pPr>
              <w:spacing w:after="0"/>
              <w:rPr>
                <w:sz w:val="18"/>
                <w:szCs w:val="18"/>
                <w:color w:val="auto"/>
              </w:rPr>
            </w:pPr>
          </w:p>
        </w:tc>
        <w:tc>
          <w:tcPr>
            <w:tcW w:w="10500" w:type="dxa"/>
            <w:vAlign w:val="bottom"/>
            <w:gridSpan w:val="3"/>
          </w:tcPr>
          <w:p>
            <w:pPr>
              <w:jc w:val="right"/>
              <w:ind w:right="20"/>
              <w:spacing w:after="0"/>
              <w:rPr>
                <w:sz w:val="20"/>
                <w:szCs w:val="20"/>
                <w:color w:val="auto"/>
              </w:rPr>
            </w:pPr>
            <w:r>
              <w:rPr>
                <w:rFonts w:ascii="Arial" w:cs="Arial" w:eastAsia="Arial" w:hAnsi="Arial"/>
                <w:sz w:val="18"/>
                <w:szCs w:val="18"/>
                <w:color w:val="auto"/>
              </w:rPr>
              <w:t>17,407</w:t>
            </w:r>
          </w:p>
        </w:tc>
        <w:tc>
          <w:tcPr>
            <w:tcW w:w="4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has no future minimum lease payments in 2024 and thereafter.</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Contingencies</w:t>
      </w:r>
    </w:p>
    <w:p>
      <w:pPr>
        <w:spacing w:after="0" w:line="104"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The Group is subject to periodic legal or administrative proceedings in the ordinary course of business. The Group does not have any pending legal or administrative proceeding to which the Group is a party that will have a material effect on its business or financial condition.</w:t>
      </w:r>
    </w:p>
    <w:p>
      <w:pPr>
        <w:spacing w:after="0" w:line="329" w:lineRule="exact"/>
        <w:rPr>
          <w:sz w:val="20"/>
          <w:szCs w:val="20"/>
          <w:color w:val="auto"/>
        </w:rPr>
      </w:pPr>
    </w:p>
    <w:p>
      <w:pPr>
        <w:ind w:left="660" w:hanging="544"/>
        <w:spacing w:after="0"/>
        <w:tabs>
          <w:tab w:leader="none" w:pos="6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120" w:right="940" w:firstLine="551"/>
        <w:spacing w:after="0" w:line="246" w:lineRule="auto"/>
        <w:rPr>
          <w:sz w:val="20"/>
          <w:szCs w:val="20"/>
          <w:color w:val="auto"/>
        </w:rPr>
      </w:pPr>
      <w:r>
        <w:rPr>
          <w:rFonts w:ascii="Arial" w:cs="Arial" w:eastAsia="Arial" w:hAnsi="Arial"/>
          <w:sz w:val="18"/>
          <w:szCs w:val="18"/>
          <w:color w:val="auto"/>
        </w:rPr>
        <w:t>The Group has evaluated subsequent events through March 17, 2021, which is the date when the consolidated financial statements were issued.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580" w:right="2080"/>
        <w:spacing w:after="0" w:line="247" w:lineRule="auto"/>
        <w:rPr>
          <w:sz w:val="20"/>
          <w:szCs w:val="20"/>
          <w:color w:val="auto"/>
        </w:rPr>
      </w:pPr>
      <w:r>
        <w:rPr>
          <w:rFonts w:ascii="Arial" w:cs="Arial" w:eastAsia="Arial" w:hAnsi="Arial"/>
          <w:sz w:val="18"/>
          <w:szCs w:val="18"/>
          <w:b w:val="1"/>
          <w:bCs w:val="1"/>
          <w:color w:val="auto"/>
        </w:rPr>
        <w:t>AIHUISHOU INTERNATIONAL CO. LTD. NOTES TO THE CONSOLIDATED FINANCIAL STATEMENTS—(Continued) FOR THE YEARS ENDED DECEMBER 31, 2018, 2019 AND 2020 (Amounts in thousands, except for share, per share data or otherwise noted)</w:t>
      </w:r>
    </w:p>
    <w:p>
      <w:pPr>
        <w:spacing w:after="0" w:line="201" w:lineRule="exact"/>
        <w:rPr>
          <w:sz w:val="20"/>
          <w:szCs w:val="20"/>
          <w:color w:val="auto"/>
        </w:rPr>
      </w:pPr>
    </w:p>
    <w:p>
      <w:pPr>
        <w:ind w:left="660" w:hanging="544"/>
        <w:spacing w:after="0"/>
        <w:tabs>
          <w:tab w:leader="none" w:pos="6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events—(Continued)</w:t>
      </w:r>
    </w:p>
    <w:p>
      <w:pPr>
        <w:spacing w:after="0" w:line="13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February 8, 2021, some of the 2016 and 2017 Notes holders have obtained ODI approval and accordingly, RMB103,423 has been redeemed and the Group has issued an aggregated of 5,831,426 shares of Series C-3 convertible redeemable preferred shares for consideration of US dollar equivalent to RMB103,423.</w:t>
      </w:r>
    </w:p>
    <w:p>
      <w:pPr>
        <w:spacing w:after="0" w:line="203"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On February 8, 2021, the Group issued 403,747 shares of Series E convertible redeemable preferred shares for an aggregate consideration of US dollar equivalent of RMB50,000 to Refresher Limited, upon its ODI approval. The amount was prepaid to the Group and included in the balance of accrued expenses and other current liabilities (Note 10) as of December 31, 2020.</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0980"/>
          </w:cols>
          <w:pgMar w:left="320" w:top="459" w:right="59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I—ADDITIONAL INFORMATION OF THE PARENT COMPANY</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jc w:val="center"/>
        <w:ind w:right="-99"/>
        <w:spacing w:after="0" w:line="234" w:lineRule="auto"/>
        <w:rPr>
          <w:sz w:val="20"/>
          <w:szCs w:val="20"/>
          <w:color w:val="auto"/>
        </w:rPr>
      </w:pPr>
      <w:r>
        <w:rPr>
          <w:rFonts w:ascii="Arial" w:cs="Arial" w:eastAsia="Arial" w:hAnsi="Arial"/>
          <w:sz w:val="18"/>
          <w:szCs w:val="18"/>
          <w:b w:val="1"/>
          <w:bCs w:val="1"/>
          <w:color w:val="auto"/>
        </w:rPr>
        <w:t>CONDENSED BALANCE SHEETS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278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160" w:type="dxa"/>
            <w:vAlign w:val="bottom"/>
          </w:tcPr>
          <w:p>
            <w:pPr>
              <w:spacing w:after="0"/>
              <w:rPr>
                <w:sz w:val="13"/>
                <w:szCs w:val="13"/>
                <w:color w:val="auto"/>
              </w:rPr>
            </w:pPr>
          </w:p>
        </w:tc>
        <w:tc>
          <w:tcPr>
            <w:tcW w:w="104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0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Pr>
          <w:p>
            <w:pPr>
              <w:spacing w:after="0"/>
              <w:rPr>
                <w:sz w:val="13"/>
                <w:szCs w:val="13"/>
                <w:color w:val="auto"/>
              </w:rPr>
            </w:pPr>
          </w:p>
        </w:tc>
        <w:tc>
          <w:tcPr>
            <w:tcW w:w="104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8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117,342</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2,220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76,865</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Prepayments and other receivables</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current assets</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117,342</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2,220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80,365</w:t>
            </w:r>
          </w:p>
        </w:tc>
        <w:tc>
          <w:tcPr>
            <w:tcW w:w="0" w:type="dxa"/>
            <w:vAlign w:val="bottom"/>
          </w:tcPr>
          <w:p>
            <w:pPr>
              <w:spacing w:after="0"/>
              <w:rPr>
                <w:sz w:val="1"/>
                <w:szCs w:val="1"/>
                <w:color w:val="auto"/>
              </w:rPr>
            </w:pPr>
          </w:p>
        </w:tc>
      </w:tr>
      <w:tr>
        <w:trPr>
          <w:trHeight w:val="209"/>
        </w:trPr>
        <w:tc>
          <w:tcPr>
            <w:tcW w:w="71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Investments in subsidiaries’ and VIE’s subsidiaries</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518,965</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3,638,854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3,654,880</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Total Non-current assets</w:t>
            </w: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vMerge w:val="continue"/>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518,965</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3,638,854</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3,654,880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636,307</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3,641,074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3,735,245</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29,906</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payable</w:t>
            </w:r>
          </w:p>
        </w:tc>
        <w:tc>
          <w:tcPr>
            <w:tcW w:w="10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7"/>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Long-term borrowings</w:t>
            </w:r>
          </w:p>
        </w:tc>
        <w:tc>
          <w:tcPr>
            <w:tcW w:w="10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32,624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non-current liabilities</w:t>
            </w:r>
          </w:p>
        </w:tc>
        <w:tc>
          <w:tcPr>
            <w:tcW w:w="104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32,624</w:t>
            </w: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67,030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16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CONVERTIBLE REDEEMABLE PREFERRED SHARES (total redemption value of,</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b w:val="1"/>
                <w:bCs w:val="1"/>
                <w:color w:val="auto"/>
              </w:rPr>
              <w:t>RMB3,251,753, and RMB9,834,318 and RMB10,886,220 as of December 31, 2018,</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2019 and 2020, respectively)</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2,492,056</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7,080,078</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8,879,894</w:t>
            </w:r>
          </w:p>
        </w:tc>
        <w:tc>
          <w:tcPr>
            <w:tcW w:w="0" w:type="dxa"/>
            <w:vAlign w:val="bottom"/>
          </w:tcPr>
          <w:p>
            <w:pPr>
              <w:spacing w:after="0"/>
              <w:rPr>
                <w:sz w:val="1"/>
                <w:szCs w:val="1"/>
                <w:color w:val="auto"/>
              </w:rPr>
            </w:pPr>
          </w:p>
        </w:tc>
      </w:tr>
      <w:tr>
        <w:trPr>
          <w:trHeight w:val="210"/>
        </w:trPr>
        <w:tc>
          <w:tcPr>
            <w:tcW w:w="716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Ordinary shares (US$0.001 par value, 89,527,708, 209,505,766 and 192,499,052</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shares authorized, 18,782,620 shares issued and outstanding as of</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December 31, 2018, 2019 and 2020, respectively)</w:t>
            </w:r>
          </w:p>
        </w:tc>
        <w:tc>
          <w:tcPr>
            <w:tcW w:w="12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11</w:t>
            </w:r>
          </w:p>
        </w:tc>
        <w:tc>
          <w:tcPr>
            <w:tcW w:w="13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716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(1,855,770)</w:t>
            </w:r>
          </w:p>
        </w:tc>
        <w:tc>
          <w:tcPr>
            <w:tcW w:w="1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(3,438,657)</w:t>
            </w:r>
          </w:p>
        </w:tc>
        <w:tc>
          <w:tcPr>
            <w:tcW w:w="1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(5,213,773)</w:t>
            </w:r>
          </w:p>
        </w:tc>
        <w:tc>
          <w:tcPr>
            <w:tcW w:w="0" w:type="dxa"/>
            <w:vAlign w:val="bottom"/>
          </w:tcPr>
          <w:p>
            <w:pPr>
              <w:spacing w:after="0"/>
              <w:rPr>
                <w:sz w:val="1"/>
                <w:szCs w:val="1"/>
                <w:color w:val="auto"/>
              </w:rPr>
            </w:pPr>
          </w:p>
        </w:tc>
      </w:tr>
      <w:tr>
        <w:trPr>
          <w:trHeight w:val="203"/>
        </w:trPr>
        <w:tc>
          <w:tcPr>
            <w:tcW w:w="7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income</w:t>
            </w: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(1,855,749)</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(3,439,004)</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(5,211,679)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16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TOTAL LIABILITIES, CONVERTIBLE REDEEMABLE PREFERRED SHARES AND</w:t>
            </w: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 DEFICIT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636,307</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3,641,074</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3,735,245</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5320"/>
              <w:spacing w:after="0"/>
              <w:rPr>
                <w:sz w:val="20"/>
                <w:szCs w:val="20"/>
                <w:color w:val="auto"/>
              </w:rPr>
            </w:pPr>
            <w:r>
              <w:rPr>
                <w:rFonts w:ascii="Arial" w:cs="Arial" w:eastAsia="Arial" w:hAnsi="Arial"/>
                <w:sz w:val="18"/>
                <w:szCs w:val="18"/>
                <w:color w:val="auto"/>
              </w:rPr>
              <w:t>F-48</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SCHEDULE I—ADDITIONAL INFORMATION OF THE PARENT COMPANY AIHUISHOU INTERNATIONAL CO. LTD. CONDENSED STATEMENTS OF COMPREHENSIVE INCOME (LOSS)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78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5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4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3"/>
                <w:szCs w:val="13"/>
                <w:color w:val="auto"/>
              </w:rPr>
            </w:pPr>
          </w:p>
        </w:tc>
        <w:tc>
          <w:tcPr>
            <w:tcW w:w="10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40" w:type="dxa"/>
            <w:vAlign w:val="bottom"/>
          </w:tcPr>
          <w:p>
            <w:pPr>
              <w:jc w:val="right"/>
              <w:ind w:right="278"/>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8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20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500" w:type="dxa"/>
            <w:vAlign w:val="bottom"/>
            <w:gridSpan w:val="3"/>
            <w:shd w:val="clear" w:color="auto" w:fill="CCEEFF"/>
          </w:tcPr>
          <w:p>
            <w:pPr>
              <w:ind w:left="800"/>
              <w:spacing w:after="0" w:line="202" w:lineRule="exact"/>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Expenses and income (loss)</w:t>
            </w:r>
          </w:p>
        </w:tc>
        <w:tc>
          <w:tcPr>
            <w:tcW w:w="2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 expenses</w:t>
            </w:r>
          </w:p>
        </w:tc>
        <w:tc>
          <w:tcPr>
            <w:tcW w:w="20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16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32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141</w:t>
            </w:r>
          </w:p>
        </w:tc>
        <w:tc>
          <w:tcPr>
            <w:tcW w:w="13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1,929</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w:t>
            </w:r>
          </w:p>
        </w:tc>
      </w:tr>
      <w:tr>
        <w:trPr>
          <w:trHeight w:val="203"/>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(loss) income, net</w:t>
            </w:r>
          </w:p>
        </w:tc>
        <w:tc>
          <w:tcPr>
            <w:tcW w:w="3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(1,024)</w:t>
            </w:r>
          </w:p>
        </w:tc>
        <w:tc>
          <w:tcPr>
            <w:tcW w:w="13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3,971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(19,844)</w:t>
            </w:r>
          </w:p>
        </w:tc>
      </w:tr>
      <w:tr>
        <w:trPr>
          <w:trHeight w:val="203"/>
        </w:trPr>
        <w:tc>
          <w:tcPr>
            <w:tcW w:w="5160" w:type="dxa"/>
            <w:vAlign w:val="bottom"/>
          </w:tcPr>
          <w:p>
            <w:pPr>
              <w:ind w:left="360"/>
              <w:spacing w:after="0" w:line="202" w:lineRule="exact"/>
              <w:rPr>
                <w:sz w:val="20"/>
                <w:szCs w:val="20"/>
                <w:color w:val="auto"/>
              </w:rPr>
            </w:pPr>
            <w:r>
              <w:rPr>
                <w:rFonts w:ascii="Arial" w:cs="Arial" w:eastAsia="Arial" w:hAnsi="Arial"/>
                <w:sz w:val="18"/>
                <w:szCs w:val="18"/>
                <w:color w:val="auto"/>
              </w:rPr>
              <w:t>Fair value change in warrant liabilities</w:t>
            </w:r>
          </w:p>
        </w:tc>
        <w:tc>
          <w:tcPr>
            <w:tcW w:w="32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23,781</w:t>
            </w:r>
          </w:p>
        </w:tc>
        <w:tc>
          <w:tcPr>
            <w:tcW w:w="1500" w:type="dxa"/>
            <w:vAlign w:val="bottom"/>
            <w:gridSpan w:val="3"/>
          </w:tcPr>
          <w:p>
            <w:pPr>
              <w:ind w:left="8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Equity in losses of subsidiaries, VIE and VIE’s subsidiaries</w:t>
            </w:r>
          </w:p>
        </w:tc>
        <w:tc>
          <w:tcPr>
            <w:tcW w:w="3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(230,839)</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(710,788)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(449,780)</w:t>
            </w:r>
          </w:p>
        </w:tc>
      </w:tr>
      <w:tr>
        <w:trPr>
          <w:trHeight w:val="210"/>
        </w:trPr>
        <w:tc>
          <w:tcPr>
            <w:tcW w:w="5160" w:type="dxa"/>
            <w:vAlign w:val="bottom"/>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200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(207,941)</w:t>
            </w:r>
          </w:p>
        </w:tc>
        <w:tc>
          <w:tcPr>
            <w:tcW w:w="2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(704,888)</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(470,618)</w:t>
            </w:r>
          </w:p>
        </w:tc>
        <w:tc>
          <w:tcPr>
            <w:tcW w:w="160" w:type="dxa"/>
            <w:vAlign w:val="bottom"/>
          </w:tcPr>
          <w:p>
            <w:pPr>
              <w:spacing w:after="0"/>
              <w:rPr>
                <w:sz w:val="18"/>
                <w:szCs w:val="18"/>
                <w:color w:val="auto"/>
              </w:rPr>
            </w:pPr>
          </w:p>
        </w:tc>
      </w:tr>
      <w:tr>
        <w:trPr>
          <w:trHeight w:val="202"/>
        </w:trPr>
        <w:tc>
          <w:tcPr>
            <w:tcW w:w="5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32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(878,319)</w:t>
            </w:r>
          </w:p>
        </w:tc>
        <w:tc>
          <w:tcPr>
            <w:tcW w:w="13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(877,999)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(1,304,498)</w:t>
            </w:r>
          </w:p>
        </w:tc>
      </w:tr>
      <w:tr>
        <w:trPr>
          <w:trHeight w:val="210"/>
        </w:trPr>
        <w:tc>
          <w:tcPr>
            <w:tcW w:w="5160" w:type="dxa"/>
            <w:vAlign w:val="bottom"/>
          </w:tcPr>
          <w:p>
            <w:pPr>
              <w:spacing w:after="0"/>
              <w:rPr>
                <w:sz w:val="20"/>
                <w:szCs w:val="20"/>
                <w:color w:val="auto"/>
              </w:rPr>
            </w:pPr>
            <w:r>
              <w:rPr>
                <w:rFonts w:ascii="Arial" w:cs="Arial" w:eastAsia="Arial" w:hAnsi="Arial"/>
                <w:sz w:val="18"/>
                <w:szCs w:val="18"/>
                <w:b w:val="1"/>
                <w:bCs w:val="1"/>
                <w:color w:val="auto"/>
              </w:rPr>
              <w:t>Net loss available to ordinary shareholders</w:t>
            </w:r>
          </w:p>
        </w:tc>
        <w:tc>
          <w:tcPr>
            <w:tcW w:w="20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(1,086,260)</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(1,582,887)</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(1,775,116)</w:t>
            </w:r>
          </w:p>
        </w:tc>
        <w:tc>
          <w:tcPr>
            <w:tcW w:w="16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5160" w:type="dxa"/>
            <w:vAlign w:val="bottom"/>
          </w:tcPr>
          <w:p>
            <w:pPr>
              <w:spacing w:after="0"/>
              <w:rPr>
                <w:sz w:val="24"/>
                <w:szCs w:val="24"/>
                <w:color w:val="auto"/>
              </w:rPr>
            </w:pPr>
          </w:p>
        </w:tc>
        <w:tc>
          <w:tcPr>
            <w:tcW w:w="3280" w:type="dxa"/>
            <w:vAlign w:val="bottom"/>
            <w:gridSpan w:val="3"/>
          </w:tcPr>
          <w:p>
            <w:pPr>
              <w:jc w:val="right"/>
              <w:ind w:right="2760"/>
              <w:spacing w:after="0"/>
              <w:rPr>
                <w:sz w:val="20"/>
                <w:szCs w:val="20"/>
                <w:color w:val="auto"/>
              </w:rPr>
            </w:pPr>
            <w:r>
              <w:rPr>
                <w:rFonts w:ascii="Arial" w:cs="Arial" w:eastAsia="Arial" w:hAnsi="Arial"/>
                <w:sz w:val="18"/>
                <w:szCs w:val="18"/>
                <w:color w:val="auto"/>
              </w:rPr>
              <w:t>F-49</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SCHEDULE I—ADDITIONAL INFORMATION OF THE PARENT COMPANY AIHUISHOU INTERNATIONAL CO. LTD. CONDENSED STATEMENTS OF CASH FLOWS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3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r>
      <w:tr>
        <w:trPr>
          <w:trHeight w:val="155"/>
        </w:trPr>
        <w:tc>
          <w:tcPr>
            <w:tcW w:w="7700" w:type="dxa"/>
            <w:vAlign w:val="bottom"/>
          </w:tcPr>
          <w:p>
            <w:pPr>
              <w:spacing w:after="0"/>
              <w:rPr>
                <w:sz w:val="13"/>
                <w:szCs w:val="13"/>
                <w:color w:val="auto"/>
              </w:rPr>
            </w:pPr>
          </w:p>
        </w:tc>
        <w:tc>
          <w:tcPr>
            <w:tcW w:w="86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96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86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used in operating activities</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subsidiaries’ and VIE’s subsidiaries</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(817,875)</w:t>
            </w:r>
          </w:p>
        </w:tc>
        <w:tc>
          <w:tcPr>
            <w:tcW w:w="12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(584,758)</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(500,551)</w:t>
            </w: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Cash used in investing activities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(817,875)</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(584,758)</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(500,551)</w:t>
            </w:r>
          </w:p>
        </w:tc>
        <w:tc>
          <w:tcPr>
            <w:tcW w:w="160" w:type="dxa"/>
            <w:vAlign w:val="bottom"/>
          </w:tcPr>
          <w:p>
            <w:pPr>
              <w:spacing w:after="0"/>
              <w:rPr>
                <w:sz w:val="18"/>
                <w:szCs w:val="18"/>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Proceeds from long-term borrowings</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65,200</w:t>
            </w: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Repayment for short-term borrowings</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(2,719)</w:t>
            </w: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Proceeds from issuance of convertible redeemable preferred shares</w:t>
            </w: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979,539</w:t>
            </w:r>
          </w:p>
        </w:tc>
        <w:tc>
          <w:tcPr>
            <w:tcW w:w="12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469,636</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512,715</w:t>
            </w:r>
          </w:p>
        </w:tc>
      </w:tr>
      <w:tr>
        <w:trPr>
          <w:trHeight w:val="203"/>
        </w:trPr>
        <w:tc>
          <w:tcPr>
            <w:tcW w:w="7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 for convertible redeemable preferred shares issuance costs</w:t>
            </w:r>
          </w:p>
        </w:tc>
        <w:tc>
          <w:tcPr>
            <w:tcW w:w="11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(22,572)</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700" w:type="dxa"/>
            <w:vAlign w:val="bottom"/>
          </w:tcPr>
          <w:p>
            <w:pPr>
              <w:ind w:left="360"/>
              <w:spacing w:after="0" w:line="202" w:lineRule="exact"/>
              <w:rPr>
                <w:sz w:val="20"/>
                <w:szCs w:val="20"/>
                <w:color w:val="auto"/>
              </w:rPr>
            </w:pPr>
            <w:r>
              <w:rPr>
                <w:rFonts w:ascii="Arial" w:cs="Arial" w:eastAsia="Arial" w:hAnsi="Arial"/>
                <w:sz w:val="18"/>
                <w:szCs w:val="18"/>
                <w:color w:val="auto"/>
              </w:rPr>
              <w:t>Repurchase of ordinary shares</w:t>
            </w:r>
          </w:p>
        </w:tc>
        <w:tc>
          <w:tcPr>
            <w:tcW w:w="11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(22,077)</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7"/>
        </w:trPr>
        <w:tc>
          <w:tcPr>
            <w:tcW w:w="7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provided by financing activities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934,890</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469,636</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575,196</w:t>
            </w:r>
          </w:p>
        </w:tc>
      </w:tr>
      <w:tr>
        <w:trPr>
          <w:trHeight w:val="20"/>
        </w:trPr>
        <w:tc>
          <w:tcPr>
            <w:tcW w:w="7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5"/>
        </w:trPr>
        <w:tc>
          <w:tcPr>
            <w:tcW w:w="770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117,015</w:t>
            </w:r>
          </w:p>
        </w:tc>
        <w:tc>
          <w:tcPr>
            <w:tcW w:w="2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(115,122)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74,645</w:t>
            </w:r>
          </w:p>
        </w:tc>
      </w:tr>
      <w:tr>
        <w:trPr>
          <w:trHeight w:val="203"/>
        </w:trPr>
        <w:tc>
          <w:tcPr>
            <w:tcW w:w="7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cash equivalent at the beginning of the year</w:t>
            </w: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327</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117,342</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2,220</w:t>
            </w: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Cash, cash equivalent at the end of the year</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117,342</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2,220</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76,865</w:t>
            </w:r>
          </w:p>
        </w:tc>
        <w:tc>
          <w:tcPr>
            <w:tcW w:w="16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7700" w:type="dxa"/>
            <w:vAlign w:val="bottom"/>
          </w:tcPr>
          <w:p>
            <w:pPr>
              <w:ind w:left="360"/>
              <w:spacing w:after="0" w:line="201" w:lineRule="exact"/>
              <w:rPr>
                <w:sz w:val="20"/>
                <w:szCs w:val="20"/>
                <w:color w:val="auto"/>
              </w:rPr>
            </w:pPr>
            <w:r>
              <w:rPr>
                <w:rFonts w:ascii="Arial" w:cs="Arial" w:eastAsia="Arial" w:hAnsi="Arial"/>
                <w:sz w:val="18"/>
                <w:szCs w:val="18"/>
                <w:color w:val="auto"/>
              </w:rPr>
              <w:t>Issuance of convertible redeemable preferred shares in connection with Paipai acquisition</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7700" w:type="dxa"/>
            <w:vAlign w:val="bottom"/>
          </w:tcPr>
          <w:p>
            <w:pPr>
              <w:ind w:left="540"/>
              <w:spacing w:after="0" w:line="202" w:lineRule="exact"/>
              <w:rPr>
                <w:sz w:val="20"/>
                <w:szCs w:val="20"/>
                <w:color w:val="auto"/>
              </w:rPr>
            </w:pPr>
            <w:r>
              <w:rPr>
                <w:rFonts w:ascii="Arial" w:cs="Arial" w:eastAsia="Arial" w:hAnsi="Arial"/>
                <w:sz w:val="18"/>
                <w:szCs w:val="18"/>
                <w:color w:val="auto"/>
              </w:rPr>
              <w:t>from JD Group (Note 3), accounted for as deemed contribution to the subsidiaries, VIE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7700" w:type="dxa"/>
            <w:vAlign w:val="bottom"/>
          </w:tcPr>
          <w:p>
            <w:pPr>
              <w:ind w:left="540"/>
              <w:spacing w:after="0"/>
              <w:rPr>
                <w:sz w:val="20"/>
                <w:szCs w:val="20"/>
                <w:color w:val="auto"/>
              </w:rPr>
            </w:pPr>
            <w:r>
              <w:rPr>
                <w:rFonts w:ascii="Arial" w:cs="Arial" w:eastAsia="Arial" w:hAnsi="Arial"/>
                <w:sz w:val="18"/>
                <w:szCs w:val="18"/>
                <w:color w:val="auto"/>
              </w:rPr>
              <w:t>and VIE’ subsidiaries</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3,242,245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351"/>
        </w:trPr>
        <w:tc>
          <w:tcPr>
            <w:tcW w:w="7700" w:type="dxa"/>
            <w:vAlign w:val="bottom"/>
          </w:tcPr>
          <w:p>
            <w:pPr>
              <w:ind w:left="5320"/>
              <w:spacing w:after="0"/>
              <w:rPr>
                <w:sz w:val="20"/>
                <w:szCs w:val="20"/>
                <w:color w:val="auto"/>
              </w:rPr>
            </w:pPr>
            <w:r>
              <w:rPr>
                <w:rFonts w:ascii="Arial" w:cs="Arial" w:eastAsia="Arial" w:hAnsi="Arial"/>
                <w:sz w:val="18"/>
                <w:szCs w:val="18"/>
                <w:color w:val="auto"/>
              </w:rPr>
              <w:t>F-50</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I</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INFORMATION OF PARENT COMPANY</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r>
        <w:rPr>
          <w:rFonts w:ascii="Arial" w:cs="Arial" w:eastAsia="Arial" w:hAnsi="Arial"/>
          <w:sz w:val="16"/>
          <w:szCs w:val="16"/>
          <w:color w:val="auto"/>
        </w:rPr>
        <w:t>.</w:t>
      </w:r>
      <w:r>
        <w:rPr>
          <w:rFonts w:ascii="Arial" w:cs="Arial" w:eastAsia="Arial" w:hAnsi="Arial"/>
          <w:sz w:val="18"/>
          <w:szCs w:val="18"/>
          <w:color w:val="auto"/>
        </w:rPr>
        <w:t xml:space="preserve"> Schedule I has been provided pursuant to the requirements of Rule 12-04(a) and 5-04(c) of Regulation S-X, which require</w:t>
      </w:r>
    </w:p>
    <w:p>
      <w:pPr>
        <w:spacing w:after="0" w:line="9"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condensed financial information as to the financial position, changes in financial position and results of operations of a parent company as of the same date and for the same period for which audited consolidated financial statements have been presented when the restricted net assets of consolidated subsidiaries exceed 25 percent of consolidated net assets as of the end of the most recently completed fiscal year.</w:t>
      </w:r>
    </w:p>
    <w:p>
      <w:pPr>
        <w:spacing w:after="0" w:line="186" w:lineRule="exact"/>
        <w:rPr>
          <w:sz w:val="20"/>
          <w:szCs w:val="20"/>
          <w:color w:val="auto"/>
        </w:rPr>
      </w:pPr>
    </w:p>
    <w:p>
      <w:pPr>
        <w:ind w:left="120" w:right="100" w:firstLine="551"/>
        <w:spacing w:after="0" w:line="253" w:lineRule="auto"/>
        <w:rPr>
          <w:sz w:val="20"/>
          <w:szCs w:val="20"/>
          <w:color w:val="auto"/>
        </w:rPr>
      </w:pPr>
      <w:r>
        <w:rPr>
          <w:rFonts w:ascii="Arial" w:cs="Arial" w:eastAsia="Arial" w:hAnsi="Arial"/>
          <w:sz w:val="17"/>
          <w:szCs w:val="17"/>
          <w:color w:val="auto"/>
        </w:rPr>
        <w:t>2</w:t>
      </w:r>
      <w:r>
        <w:rPr>
          <w:rFonts w:ascii="Arial" w:cs="Arial" w:eastAsia="Arial" w:hAnsi="Arial"/>
          <w:sz w:val="15"/>
          <w:szCs w:val="15"/>
          <w:color w:val="auto"/>
        </w:rPr>
        <w:t>.</w:t>
      </w:r>
      <w:r>
        <w:rPr>
          <w:rFonts w:ascii="Arial" w:cs="Arial" w:eastAsia="Arial" w:hAnsi="Arial"/>
          <w:sz w:val="17"/>
          <w:szCs w:val="17"/>
          <w:color w:val="auto"/>
        </w:rPr>
        <w:t xml:space="preserve"> The condensed financial information has been prepared using the same accounting policies as set out in the consolidated financial statements except that the equity method has been used to account for investments in its subsidiaries and VIE. For the parent company, the Company records its investments in subsidiaries and VIE under the equity method of accounting as prescribed in ASC 323, Investments—Equity Method and Joint Ventures. Such investments are presented on the Condensed Balance Sheet as “Investments in subsidiaries and VIE” or and the subsidiaries and VIE’ profit or loss as “Loss from equity in earnings of subsidiaries and VIE” on the Condensed Statements of Comprehensive Income (loss). Ordinarily under the equity method,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I, the parent company has continued to reflect its share, based on its proportionate interest, of the losses of subsidiaries and VIE regardless of the carrying value of the investment even though the parent company is not obligated to provide continuing support or fund losses.</w:t>
      </w:r>
    </w:p>
    <w:p>
      <w:pPr>
        <w:spacing w:after="0" w:line="19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3</w:t>
      </w:r>
      <w:r>
        <w:rPr>
          <w:rFonts w:ascii="Arial" w:cs="Arial" w:eastAsia="Arial" w:hAnsi="Arial"/>
          <w:sz w:val="16"/>
          <w:szCs w:val="16"/>
          <w:color w:val="auto"/>
        </w:rPr>
        <w:t>.</w:t>
      </w:r>
      <w:r>
        <w:rPr>
          <w:rFonts w:ascii="Arial" w:cs="Arial" w:eastAsia="Arial" w:hAnsi="Arial"/>
          <w:sz w:val="18"/>
          <w:szCs w:val="18"/>
          <w:color w:val="auto"/>
        </w:rPr>
        <w:t xml:space="preserve"> Besides the long-term borrowings entered during the year ended December 31, 2020, there were no other material contingencies, significant provisions of long-term obligations, guarantees of the Company for the years ended December 31, 2018, 2019 and 2020.</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UNAUDITED CONDENSED CONSOLIDATED BALANCE SHEETS AS OF DECEMBER 31, 2020 AND MARCH 31, 2021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8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918,076</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657,218</w:t>
            </w:r>
          </w:p>
        </w:tc>
        <w:tc>
          <w:tcPr>
            <w:tcW w:w="0" w:type="dxa"/>
            <w:vAlign w:val="bottom"/>
          </w:tcPr>
          <w:p>
            <w:pPr>
              <w:spacing w:after="0"/>
              <w:rPr>
                <w:sz w:val="1"/>
                <w:szCs w:val="1"/>
                <w:color w:val="auto"/>
              </w:rPr>
            </w:pPr>
          </w:p>
        </w:tc>
      </w:tr>
      <w:tr>
        <w:trPr>
          <w:trHeight w:val="202"/>
        </w:trPr>
        <w:tc>
          <w:tcPr>
            <w:tcW w:w="8140" w:type="dxa"/>
            <w:vAlign w:val="bottom"/>
          </w:tcPr>
          <w:p>
            <w:pPr>
              <w:ind w:left="360"/>
              <w:spacing w:after="0" w:line="201" w:lineRule="exact"/>
              <w:rPr>
                <w:sz w:val="20"/>
                <w:szCs w:val="20"/>
                <w:color w:val="auto"/>
              </w:rPr>
            </w:pPr>
            <w:r>
              <w:rPr>
                <w:rFonts w:ascii="Arial" w:cs="Arial" w:eastAsia="Arial" w:hAnsi="Arial"/>
                <w:sz w:val="18"/>
                <w:szCs w:val="18"/>
                <w:color w:val="auto"/>
              </w:rPr>
              <w:t>Short-term investments (including the fair value measured structured products of RMB 71,775</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40"/>
              <w:spacing w:after="0" w:line="203" w:lineRule="exact"/>
              <w:rPr>
                <w:sz w:val="20"/>
                <w:szCs w:val="20"/>
                <w:color w:val="auto"/>
              </w:rPr>
            </w:pPr>
            <w:r>
              <w:rPr>
                <w:rFonts w:ascii="Arial" w:cs="Arial" w:eastAsia="Arial" w:hAnsi="Arial"/>
                <w:sz w:val="18"/>
                <w:szCs w:val="18"/>
                <w:color w:val="auto"/>
              </w:rPr>
              <w:t>and nil as of December 31, 2020 and March 31, 2021)</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97,866</w:t>
            </w:r>
          </w:p>
        </w:tc>
        <w:tc>
          <w:tcPr>
            <w:tcW w:w="10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from related parties</w:t>
            </w: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289,156</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295,094</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176,994</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317,762</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third party payment service providers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124,262</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78,876</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Prepayments and other receivables, net</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268,284</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522,973</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1,874,638</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1,871,923</w:t>
            </w:r>
          </w:p>
        </w:tc>
        <w:tc>
          <w:tcPr>
            <w:tcW w:w="0" w:type="dxa"/>
            <w:vAlign w:val="bottom"/>
          </w:tcPr>
          <w:p>
            <w:pPr>
              <w:spacing w:after="0"/>
              <w:rPr>
                <w:sz w:val="1"/>
                <w:szCs w:val="1"/>
                <w:color w:val="auto"/>
              </w:rPr>
            </w:pPr>
          </w:p>
        </w:tc>
      </w:tr>
      <w:tr>
        <w:trPr>
          <w:trHeight w:val="209"/>
        </w:trPr>
        <w:tc>
          <w:tcPr>
            <w:tcW w:w="81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equity investees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96,362</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104,877</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69,562</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64,986</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1,367,841</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1,290,002</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1,803,415</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1,803,415</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14,520</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16,417</w:t>
            </w:r>
          </w:p>
        </w:tc>
        <w:tc>
          <w:tcPr>
            <w:tcW w:w="0" w:type="dxa"/>
            <w:vAlign w:val="bottom"/>
          </w:tcPr>
          <w:p>
            <w:pPr>
              <w:spacing w:after="0"/>
              <w:rPr>
                <w:sz w:val="1"/>
                <w:szCs w:val="1"/>
                <w:color w:val="auto"/>
              </w:rPr>
            </w:pPr>
          </w:p>
        </w:tc>
      </w:tr>
      <w:tr>
        <w:trPr>
          <w:trHeight w:val="217"/>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3,351,700</w:t>
            </w:r>
          </w:p>
        </w:tc>
        <w:tc>
          <w:tcPr>
            <w:tcW w:w="2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3,279,697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5,226,338</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5,151,620</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spacing w:after="0" w:line="180" w:lineRule="exact"/>
              <w:rPr>
                <w:sz w:val="20"/>
                <w:szCs w:val="20"/>
                <w:color w:val="auto"/>
              </w:rPr>
            </w:pPr>
            <w:r>
              <w:rPr>
                <w:rFonts w:ascii="Arial" w:cs="Arial" w:eastAsia="Arial" w:hAnsi="Arial"/>
                <w:sz w:val="18"/>
                <w:szCs w:val="18"/>
                <w:b w:val="1"/>
                <w:bCs w:val="1"/>
                <w:color w:val="auto"/>
              </w:rPr>
              <w:t>Current liabilities: (including amounts of the consolidated VIE without recourse to</w:t>
            </w: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AiHuiShou International Co. Ltd.) (See Note 2.2)</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369,657</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352,079</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27,201</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43,954</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396,612</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400,550</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welfare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115,400</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122,108</w:t>
            </w: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Convertible bonds</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w:t>
            </w: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160,000</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to related parties</w:t>
            </w: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w:t>
            </w: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114,669</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71,046</w:t>
            </w:r>
          </w:p>
        </w:tc>
        <w:tc>
          <w:tcPr>
            <w:tcW w:w="0" w:type="dxa"/>
            <w:vAlign w:val="bottom"/>
          </w:tcPr>
          <w:p>
            <w:pPr>
              <w:spacing w:after="0"/>
              <w:rPr>
                <w:sz w:val="1"/>
                <w:szCs w:val="1"/>
                <w:color w:val="auto"/>
              </w:rPr>
            </w:pPr>
          </w:p>
        </w:tc>
      </w:tr>
      <w:tr>
        <w:trPr>
          <w:trHeight w:val="217"/>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1,183,539</w:t>
            </w:r>
          </w:p>
        </w:tc>
        <w:tc>
          <w:tcPr>
            <w:tcW w:w="2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1,079,737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Long-term borrowings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32,624</w:t>
            </w:r>
          </w:p>
        </w:tc>
        <w:tc>
          <w:tcPr>
            <w:tcW w:w="10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22,155</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341,960</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322,501</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374,584</w:t>
            </w:r>
          </w:p>
        </w:tc>
        <w:tc>
          <w:tcPr>
            <w:tcW w:w="2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1,558,123</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1,424,393</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5320"/>
              <w:spacing w:after="0"/>
              <w:rPr>
                <w:sz w:val="20"/>
                <w:szCs w:val="20"/>
                <w:color w:val="auto"/>
              </w:rPr>
            </w:pPr>
            <w:r>
              <w:rPr>
                <w:rFonts w:ascii="Arial" w:cs="Arial" w:eastAsia="Arial" w:hAnsi="Arial"/>
                <w:sz w:val="18"/>
                <w:szCs w:val="18"/>
                <w:color w:val="auto"/>
              </w:rPr>
              <w:t>F-52</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40" w:right="2200"/>
        <w:spacing w:after="0" w:line="247" w:lineRule="auto"/>
        <w:rPr>
          <w:sz w:val="20"/>
          <w:szCs w:val="20"/>
          <w:color w:val="auto"/>
        </w:rPr>
      </w:pPr>
      <w:r>
        <w:rPr>
          <w:rFonts w:ascii="Arial" w:cs="Arial" w:eastAsia="Arial" w:hAnsi="Arial"/>
          <w:sz w:val="18"/>
          <w:szCs w:val="18"/>
          <w:b w:val="1"/>
          <w:bCs w:val="1"/>
          <w:color w:val="auto"/>
        </w:rPr>
        <w:t>AIHUISHOU INTERNATIONAL CO. LTD. UNAUDITED CONDENSED CONSOLIDATED BALANCE SHEETS—(Continued) AS OF DECEMBER 31, 2020 AND MARCH 31, 2021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As of</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81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gridSpan w:val="2"/>
          </w:tcPr>
          <w:p>
            <w:pPr>
              <w:spacing w:after="0"/>
              <w:rPr>
                <w:sz w:val="13"/>
                <w:szCs w:val="13"/>
                <w:color w:val="auto"/>
              </w:rPr>
            </w:pPr>
          </w:p>
        </w:tc>
        <w:tc>
          <w:tcPr>
            <w:tcW w:w="10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Commitments and contingencies</w:t>
            </w:r>
          </w:p>
        </w:tc>
        <w:tc>
          <w:tcPr>
            <w:tcW w:w="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spacing w:after="0" w:line="202" w:lineRule="exact"/>
              <w:rPr>
                <w:sz w:val="20"/>
                <w:szCs w:val="20"/>
                <w:color w:val="auto"/>
              </w:rPr>
            </w:pPr>
            <w:r>
              <w:rPr>
                <w:rFonts w:ascii="Arial" w:cs="Arial" w:eastAsia="Arial" w:hAnsi="Arial"/>
                <w:sz w:val="18"/>
                <w:szCs w:val="18"/>
                <w:b w:val="1"/>
                <w:bCs w:val="1"/>
                <w:color w:val="auto"/>
              </w:rPr>
              <w:t>MEZZANINE EQUITY</w:t>
            </w:r>
          </w:p>
        </w:tc>
        <w:tc>
          <w:tcPr>
            <w:tcW w:w="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A convertible redeemable preferred shares (US$0.001 par value, 9,497,040 shares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authorized, issued and outstanding as of December 31, 2020 and March 31, 2021,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445,275</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467,173</w:t>
            </w: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Series B convertible redeemable preferred shares (US$0.001 par value, 7,586,836 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180"/>
              <w:spacing w:after="0" w:line="203" w:lineRule="exact"/>
              <w:rPr>
                <w:sz w:val="20"/>
                <w:szCs w:val="20"/>
                <w:color w:val="auto"/>
              </w:rPr>
            </w:pPr>
            <w:r>
              <w:rPr>
                <w:rFonts w:ascii="Arial" w:cs="Arial" w:eastAsia="Arial" w:hAnsi="Arial"/>
                <w:sz w:val="18"/>
                <w:szCs w:val="18"/>
                <w:color w:val="auto"/>
              </w:rPr>
              <w:t>authorized, issued and outstanding as of December 31, 2020 and March 31, 2021,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361,633</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378,840</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C convertible redeemable preferred shares (US$0.001 par value, 44,226,287 shares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33,320,256 and 39,151,682 issued and outstanding as of December 31, 2020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March 31, 2021,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1,705,435</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2,054,873</w:t>
            </w: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Series D convertible redeemable preferred shares (US$0.001 par value, 10,068,160 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180"/>
              <w:spacing w:after="0" w:line="203" w:lineRule="exact"/>
              <w:rPr>
                <w:sz w:val="20"/>
                <w:szCs w:val="20"/>
                <w:color w:val="auto"/>
              </w:rPr>
            </w:pPr>
            <w:r>
              <w:rPr>
                <w:rFonts w:ascii="Arial" w:cs="Arial" w:eastAsia="Arial" w:hAnsi="Arial"/>
                <w:sz w:val="18"/>
                <w:szCs w:val="18"/>
                <w:color w:val="auto"/>
              </w:rPr>
              <w:t>authorized, issued and outstanding as of December 31, 2020 and March 31, 2021,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1,153,593</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1,190,676</w:t>
            </w:r>
          </w:p>
        </w:tc>
        <w:tc>
          <w:tcPr>
            <w:tcW w:w="0" w:type="dxa"/>
            <w:vAlign w:val="bottom"/>
          </w:tcPr>
          <w:p>
            <w:pPr>
              <w:spacing w:after="0"/>
              <w:rPr>
                <w:sz w:val="1"/>
                <w:szCs w:val="1"/>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E convertible redeemable preferred shares (US$0.001 par value, 36,122,625 shares</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34,225,014 and 34,628,761 issued and outstanding as of December 31, 2020 and</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March 31, 2021, respectively)</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5,213,958</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5,451,027</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8,879,894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9,542,589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SHAREHOLDERS’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40" w:type="dxa"/>
            <w:vAlign w:val="bottom"/>
          </w:tcPr>
          <w:p>
            <w:pPr>
              <w:ind w:left="360"/>
              <w:spacing w:after="0" w:line="201" w:lineRule="exact"/>
              <w:rPr>
                <w:sz w:val="20"/>
                <w:szCs w:val="20"/>
                <w:color w:val="auto"/>
              </w:rPr>
            </w:pPr>
            <w:r>
              <w:rPr>
                <w:rFonts w:ascii="Arial" w:cs="Arial" w:eastAsia="Arial" w:hAnsi="Arial"/>
                <w:sz w:val="18"/>
                <w:szCs w:val="18"/>
                <w:color w:val="auto"/>
              </w:rPr>
              <w:t>Ordinary shares (US$0.001 par value, 192,499,052 shares authorized, 18,782,620 shares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40"/>
              <w:spacing w:after="0" w:line="203" w:lineRule="exact"/>
              <w:rPr>
                <w:sz w:val="20"/>
                <w:szCs w:val="20"/>
                <w:color w:val="auto"/>
              </w:rPr>
            </w:pPr>
            <w:r>
              <w:rPr>
                <w:rFonts w:ascii="Arial" w:cs="Arial" w:eastAsia="Arial" w:hAnsi="Arial"/>
                <w:sz w:val="18"/>
                <w:szCs w:val="18"/>
                <w:color w:val="auto"/>
              </w:rPr>
              <w:t>issued and outstanding as of December 31, 2020 and March 31, 2021, respectively)</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14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(5,213,773)</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(5,817,181)</w:t>
            </w:r>
          </w:p>
        </w:tc>
        <w:tc>
          <w:tcPr>
            <w:tcW w:w="0" w:type="dxa"/>
            <w:vAlign w:val="bottom"/>
          </w:tcPr>
          <w:p>
            <w:pPr>
              <w:spacing w:after="0"/>
              <w:rPr>
                <w:sz w:val="1"/>
                <w:szCs w:val="1"/>
                <w:color w:val="auto"/>
              </w:rPr>
            </w:pPr>
          </w:p>
        </w:tc>
      </w:tr>
      <w:tr>
        <w:trPr>
          <w:trHeight w:val="210"/>
        </w:trPr>
        <w:tc>
          <w:tcPr>
            <w:tcW w:w="8140" w:type="dxa"/>
            <w:vAlign w:val="bottom"/>
          </w:tcPr>
          <w:p>
            <w:pPr>
              <w:ind w:left="360"/>
              <w:spacing w:after="0" w:line="202" w:lineRule="exact"/>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SHAREHOLDERS’ DEFICIT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(5,211,679)</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(5,815,362)</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5,226,338</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5,151,620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LOSS</w:t>
      </w:r>
    </w:p>
    <w:p>
      <w:pPr>
        <w:jc w:val="center"/>
        <w:ind w:right="-99"/>
        <w:spacing w:after="0" w:line="234" w:lineRule="auto"/>
        <w:rPr>
          <w:sz w:val="20"/>
          <w:szCs w:val="20"/>
          <w:color w:val="auto"/>
        </w:rPr>
      </w:pPr>
      <w:r>
        <w:rPr>
          <w:rFonts w:ascii="Arial" w:cs="Arial" w:eastAsia="Arial" w:hAnsi="Arial"/>
          <w:sz w:val="18"/>
          <w:szCs w:val="18"/>
          <w:b w:val="1"/>
          <w:bCs w:val="1"/>
          <w:color w:val="auto"/>
        </w:rPr>
        <w:t>FOR THE THREE MONTHS ENDED MARCH 31, 2020 AND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8020" w:type="dxa"/>
            <w:vAlign w:val="bottom"/>
          </w:tcPr>
          <w:p>
            <w:pPr>
              <w:spacing w:after="0"/>
              <w:rPr>
                <w:sz w:val="15"/>
                <w:szCs w:val="15"/>
                <w:color w:val="auto"/>
              </w:rPr>
            </w:pPr>
          </w:p>
        </w:tc>
        <w:tc>
          <w:tcPr>
            <w:tcW w:w="6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Note</w:t>
            </w:r>
          </w:p>
        </w:tc>
        <w:tc>
          <w:tcPr>
            <w:tcW w:w="24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80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9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3"/>
                <w:szCs w:val="13"/>
                <w:color w:val="auto"/>
              </w:rPr>
            </w:pPr>
          </w:p>
        </w:tc>
        <w:tc>
          <w:tcPr>
            <w:tcW w:w="960" w:type="dxa"/>
            <w:vAlign w:val="bottom"/>
            <w:tcBorders>
              <w:top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revenues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Net product revenues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606,103</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1,310,547</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service revenues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86,109</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203,884</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Merchandise costs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(500,800)</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(1,095,696)</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Fulfillment expenses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(157,954)</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(223,019)</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and marketing expenses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(144,150)</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(222,580)</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(53,900)</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(29,408)</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content expenses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(40,165)</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(55,499)</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(896,969)</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(1,626,202)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operating income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5,811</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(198,946)</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(111,410)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(3,535)</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1,910</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6,559</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(194,012)</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(113,628)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Income tax benefits</w:t>
            </w: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w:t>
            </w: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12,028</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Share of loss in equity method investments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(4,281)</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(186,265)</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(94,781)</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(326,123)</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(508,627)</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attributable to ordinary shareholders of the Company</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b w:val="1"/>
                <w:bCs w:val="1"/>
                <w:color w:val="auto"/>
              </w:rPr>
              <w:t>(512,388)</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(603,408)</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w:t>
            </w: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(27.28)</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(27.28)</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Weighted average number of shares used in calculating net loss per ordinary share</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360"/>
              <w:spacing w:after="0" w:line="202" w:lineRule="exact"/>
              <w:rPr>
                <w:sz w:val="20"/>
                <w:szCs w:val="20"/>
                <w:color w:val="auto"/>
              </w:rPr>
            </w:pPr>
            <w:r>
              <w:rPr>
                <w:rFonts w:ascii="Arial" w:cs="Arial" w:eastAsia="Arial" w:hAnsi="Arial"/>
                <w:sz w:val="18"/>
                <w:szCs w:val="18"/>
                <w:color w:val="auto"/>
              </w:rPr>
              <w:t>Basic</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18,782,620</w:t>
            </w: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18,782,620</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18,782,620</w:t>
            </w:r>
          </w:p>
        </w:tc>
        <w:tc>
          <w:tcPr>
            <w:tcW w:w="11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18,782,620</w:t>
            </w:r>
          </w:p>
        </w:tc>
        <w:tc>
          <w:tcPr>
            <w:tcW w:w="0" w:type="dxa"/>
            <w:vAlign w:val="bottom"/>
          </w:tcPr>
          <w:p>
            <w:pPr>
              <w:spacing w:after="0"/>
              <w:rPr>
                <w:sz w:val="1"/>
                <w:szCs w:val="1"/>
                <w:color w:val="auto"/>
              </w:rPr>
            </w:pPr>
          </w:p>
        </w:tc>
      </w:tr>
      <w:tr>
        <w:trPr>
          <w:trHeight w:val="203"/>
        </w:trPr>
        <w:tc>
          <w:tcPr>
            <w:tcW w:w="8020" w:type="dxa"/>
            <w:vAlign w:val="bottom"/>
          </w:tcPr>
          <w:p>
            <w:pPr>
              <w:spacing w:after="0" w:line="202" w:lineRule="exact"/>
              <w:rPr>
                <w:sz w:val="20"/>
                <w:szCs w:val="20"/>
                <w:color w:val="auto"/>
              </w:rPr>
            </w:pPr>
            <w:r>
              <w:rPr>
                <w:rFonts w:ascii="Arial" w:cs="Arial" w:eastAsia="Arial" w:hAnsi="Arial"/>
                <w:sz w:val="18"/>
                <w:szCs w:val="18"/>
                <w:b w:val="1"/>
                <w:bCs w:val="1"/>
                <w:color w:val="auto"/>
              </w:rPr>
              <w:t>Net loss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(186,265)</w:t>
            </w: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(94,781)</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(630)</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(186,895)</w:t>
            </w:r>
          </w:p>
        </w:tc>
        <w:tc>
          <w:tcPr>
            <w:tcW w:w="34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(95,056)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convertible redeemable preferred shares</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(326,123)</w:t>
            </w:r>
          </w:p>
        </w:tc>
        <w:tc>
          <w:tcPr>
            <w:tcW w:w="11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(508,627)</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comprehensive loss attributable to ordinary shareholders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(513,018)</w:t>
            </w:r>
          </w:p>
        </w:tc>
        <w:tc>
          <w:tcPr>
            <w:tcW w:w="3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(603,683)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CONSOLIDATED STATEMENTS OF CHANGES IN SHAREHOLDERS’ DEFICIT</w:t>
      </w:r>
    </w:p>
    <w:p>
      <w:pPr>
        <w:jc w:val="center"/>
        <w:ind w:right="-99"/>
        <w:spacing w:after="0" w:line="234" w:lineRule="auto"/>
        <w:rPr>
          <w:sz w:val="20"/>
          <w:szCs w:val="20"/>
          <w:color w:val="auto"/>
        </w:rPr>
      </w:pPr>
      <w:r>
        <w:rPr>
          <w:rFonts w:ascii="Arial" w:cs="Arial" w:eastAsia="Arial" w:hAnsi="Arial"/>
          <w:sz w:val="18"/>
          <w:szCs w:val="18"/>
          <w:b w:val="1"/>
          <w:bCs w:val="1"/>
          <w:color w:val="auto"/>
        </w:rPr>
        <w:t>FOR THE THREE MONTHS ENDED MARCH 31, 2020 AND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Accumulated other</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460" w:type="dxa"/>
            <w:vAlign w:val="bottom"/>
            <w:gridSpan w:val="3"/>
          </w:tcPr>
          <w:p>
            <w:pPr>
              <w:ind w:left="340"/>
              <w:spacing w:after="0"/>
              <w:rPr>
                <w:sz w:val="20"/>
                <w:szCs w:val="20"/>
                <w:color w:val="auto"/>
              </w:rPr>
            </w:pPr>
            <w:r>
              <w:rPr>
                <w:rFonts w:ascii="Arial" w:cs="Arial" w:eastAsia="Arial" w:hAnsi="Arial"/>
                <w:sz w:val="14"/>
                <w:szCs w:val="14"/>
                <w:b w:val="1"/>
                <w:bCs w:val="1"/>
                <w:color w:val="auto"/>
              </w:rPr>
              <w:t>Ordinary shares</w:t>
            </w: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2"/>
          </w:tcPr>
          <w:p>
            <w:pPr>
              <w:jc w:val="center"/>
              <w:ind w:right="481"/>
              <w:spacing w:after="0"/>
              <w:rPr>
                <w:sz w:val="20"/>
                <w:szCs w:val="20"/>
                <w:color w:val="auto"/>
              </w:rPr>
            </w:pPr>
            <w:r>
              <w:rPr>
                <w:rFonts w:ascii="Arial" w:cs="Arial" w:eastAsia="Arial" w:hAnsi="Arial"/>
                <w:sz w:val="14"/>
                <w:szCs w:val="14"/>
                <w:b w:val="1"/>
                <w:bCs w:val="1"/>
                <w:color w:val="auto"/>
              </w:rPr>
              <w:t>Accumulated</w:t>
            </w:r>
          </w:p>
        </w:tc>
        <w:tc>
          <w:tcPr>
            <w:tcW w:w="2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comprehensive income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300" w:type="dxa"/>
            <w:vAlign w:val="bottom"/>
            <w:gridSpan w:val="5"/>
          </w:tcPr>
          <w:p>
            <w:pPr>
              <w:ind w:left="200"/>
              <w:spacing w:after="0"/>
              <w:rPr>
                <w:sz w:val="20"/>
                <w:szCs w:val="20"/>
                <w:color w:val="auto"/>
              </w:rPr>
            </w:pPr>
            <w:r>
              <w:rPr>
                <w:rFonts w:ascii="Arial" w:cs="Arial" w:eastAsia="Arial" w:hAnsi="Arial"/>
                <w:sz w:val="14"/>
                <w:szCs w:val="14"/>
                <w:b w:val="1"/>
                <w:bCs w:val="1"/>
                <w:color w:val="auto"/>
              </w:rPr>
              <w:t>(par value US$0.001)</w:t>
            </w:r>
          </w:p>
        </w:tc>
        <w:tc>
          <w:tcPr>
            <w:tcW w:w="1500" w:type="dxa"/>
            <w:vAlign w:val="bottom"/>
            <w:gridSpan w:val="2"/>
          </w:tcPr>
          <w:p>
            <w:pPr>
              <w:jc w:val="center"/>
              <w:ind w:right="501"/>
              <w:spacing w:after="0"/>
              <w:rPr>
                <w:sz w:val="20"/>
                <w:szCs w:val="20"/>
                <w:color w:val="auto"/>
              </w:rPr>
            </w:pPr>
            <w:r>
              <w:rPr>
                <w:rFonts w:ascii="Arial" w:cs="Arial" w:eastAsia="Arial" w:hAnsi="Arial"/>
                <w:sz w:val="14"/>
                <w:szCs w:val="14"/>
                <w:b w:val="1"/>
                <w:bCs w:val="1"/>
                <w:color w:val="auto"/>
              </w:rPr>
              <w:t>Deficit</w:t>
            </w:r>
          </w:p>
        </w:tc>
        <w:tc>
          <w:tcPr>
            <w:tcW w:w="2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(loss)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460" w:type="dxa"/>
            <w:vAlign w:val="bottom"/>
            <w:tcBorders>
              <w:top w:val="single" w:sz="8" w:color="auto"/>
            </w:tcBorders>
            <w:gridSpan w:val="3"/>
          </w:tcPr>
          <w:p>
            <w:pPr>
              <w:ind w:left="120"/>
              <w:spacing w:after="0" w:line="143" w:lineRule="exact"/>
              <w:rPr>
                <w:sz w:val="20"/>
                <w:szCs w:val="20"/>
                <w:color w:val="auto"/>
              </w:rPr>
            </w:pPr>
            <w:r>
              <w:rPr>
                <w:rFonts w:ascii="Arial" w:cs="Arial" w:eastAsia="Arial" w:hAnsi="Arial"/>
                <w:sz w:val="14"/>
                <w:szCs w:val="14"/>
                <w:b w:val="1"/>
                <w:bCs w:val="1"/>
                <w:color w:val="auto"/>
              </w:rPr>
              <w:t>Number of</w:t>
            </w:r>
          </w:p>
        </w:tc>
        <w:tc>
          <w:tcPr>
            <w:tcW w:w="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RMB</w:t>
            </w:r>
          </w:p>
        </w:tc>
        <w:tc>
          <w:tcPr>
            <w:tcW w:w="1500" w:type="dxa"/>
            <w:vAlign w:val="bottom"/>
            <w:gridSpan w:val="2"/>
          </w:tcPr>
          <w:p>
            <w:pPr>
              <w:jc w:val="center"/>
              <w:ind w:right="481"/>
              <w:spacing w:after="0"/>
              <w:rPr>
                <w:sz w:val="20"/>
                <w:szCs w:val="20"/>
                <w:color w:val="auto"/>
              </w:rPr>
            </w:pPr>
            <w:r>
              <w:rPr>
                <w:rFonts w:ascii="Arial" w:cs="Arial" w:eastAsia="Arial" w:hAnsi="Arial"/>
                <w:sz w:val="14"/>
                <w:szCs w:val="14"/>
                <w:b w:val="1"/>
                <w:bCs w:val="1"/>
                <w:color w:val="auto"/>
              </w:rPr>
              <w:t>RMB</w:t>
            </w:r>
          </w:p>
        </w:tc>
        <w:tc>
          <w:tcPr>
            <w:tcW w:w="21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RMB</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January 1, 2020</w:t>
            </w:r>
          </w:p>
        </w:tc>
        <w:tc>
          <w:tcPr>
            <w:tcW w:w="96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w w:val="97"/>
              </w:rPr>
              <w:t>18,782,620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5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(3,438,657)</w:t>
            </w:r>
          </w:p>
        </w:tc>
        <w:tc>
          <w:tcPr>
            <w:tcW w:w="5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(358)</w:t>
            </w:r>
          </w:p>
        </w:tc>
        <w:tc>
          <w:tcPr>
            <w:tcW w:w="5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(3,439,004)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460" w:type="dxa"/>
            <w:vAlign w:val="bottom"/>
            <w:gridSpan w:val="3"/>
          </w:tcPr>
          <w:p>
            <w:pPr>
              <w:ind w:left="6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441"/>
              <w:spacing w:after="0" w:line="202" w:lineRule="exact"/>
              <w:rPr>
                <w:sz w:val="20"/>
                <w:szCs w:val="20"/>
                <w:color w:val="auto"/>
              </w:rPr>
            </w:pPr>
            <w:r>
              <w:rPr>
                <w:rFonts w:ascii="Arial" w:cs="Arial" w:eastAsia="Arial" w:hAnsi="Arial"/>
                <w:sz w:val="18"/>
                <w:szCs w:val="18"/>
                <w:color w:val="auto"/>
              </w:rPr>
              <w:t>(186,265)</w:t>
            </w:r>
          </w:p>
        </w:tc>
        <w:tc>
          <w:tcPr>
            <w:tcW w:w="21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(186,265)</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Accretion on convertible</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redeemable preferred shares</w:t>
            </w:r>
          </w:p>
        </w:tc>
        <w:tc>
          <w:tcPr>
            <w:tcW w:w="1460" w:type="dxa"/>
            <w:vAlign w:val="bottom"/>
            <w:gridSpan w:val="3"/>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41"/>
              <w:spacing w:after="0" w:line="203" w:lineRule="exact"/>
              <w:rPr>
                <w:sz w:val="20"/>
                <w:szCs w:val="20"/>
                <w:color w:val="auto"/>
              </w:rPr>
            </w:pPr>
            <w:r>
              <w:rPr>
                <w:rFonts w:ascii="Arial" w:cs="Arial" w:eastAsia="Arial" w:hAnsi="Arial"/>
                <w:sz w:val="18"/>
                <w:szCs w:val="18"/>
                <w:color w:val="auto"/>
              </w:rPr>
              <w:t>(326,123)</w:t>
            </w:r>
          </w:p>
        </w:tc>
        <w:tc>
          <w:tcPr>
            <w:tcW w:w="2160" w:type="dxa"/>
            <w:vAlign w:val="bottom"/>
            <w:gridSpan w:val="2"/>
            <w:shd w:val="clear" w:color="auto" w:fill="CCEEFF"/>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(326,123)</w:t>
            </w:r>
          </w:p>
        </w:tc>
        <w:tc>
          <w:tcPr>
            <w:tcW w:w="0" w:type="dxa"/>
            <w:vAlign w:val="bottom"/>
          </w:tcPr>
          <w:p>
            <w:pPr>
              <w:spacing w:after="0"/>
              <w:rPr>
                <w:sz w:val="1"/>
                <w:szCs w:val="1"/>
                <w:color w:val="auto"/>
              </w:rPr>
            </w:pPr>
          </w:p>
        </w:tc>
      </w:tr>
      <w:tr>
        <w:trPr>
          <w:trHeight w:val="202"/>
        </w:trPr>
        <w:tc>
          <w:tcPr>
            <w:tcW w:w="3600" w:type="dxa"/>
            <w:vAlign w:val="bottom"/>
          </w:tcPr>
          <w:p>
            <w:pPr>
              <w:ind w:left="360"/>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540"/>
              <w:spacing w:after="0" w:line="203" w:lineRule="exact"/>
              <w:rPr>
                <w:sz w:val="20"/>
                <w:szCs w:val="20"/>
                <w:color w:val="auto"/>
              </w:rPr>
            </w:pPr>
            <w:r>
              <w:rPr>
                <w:rFonts w:ascii="Arial" w:cs="Arial" w:eastAsia="Arial" w:hAnsi="Arial"/>
                <w:sz w:val="18"/>
                <w:szCs w:val="18"/>
                <w:color w:val="auto"/>
              </w:rPr>
              <w:t>adjustments</w:t>
            </w:r>
          </w:p>
        </w:tc>
        <w:tc>
          <w:tcPr>
            <w:tcW w:w="960" w:type="dxa"/>
            <w:vAlign w:val="bottom"/>
          </w:tcPr>
          <w:p>
            <w:pPr>
              <w:ind w:left="680"/>
              <w:spacing w:after="0" w:line="203" w:lineRule="exact"/>
              <w:rPr>
                <w:sz w:val="20"/>
                <w:szCs w:val="20"/>
                <w:color w:val="auto"/>
              </w:rPr>
            </w:pPr>
            <w:r>
              <w:rPr>
                <w:rFonts w:ascii="Arial" w:cs="Arial" w:eastAsia="Arial" w:hAnsi="Arial"/>
                <w:sz w:val="18"/>
                <w:szCs w:val="18"/>
                <w:color w:val="auto"/>
              </w:rPr>
              <w:t>—</w:t>
            </w:r>
          </w:p>
        </w:tc>
        <w:tc>
          <w:tcPr>
            <w:tcW w:w="500" w:type="dxa"/>
            <w:vAlign w:val="bottom"/>
            <w:gridSpan w:val="2"/>
          </w:tcPr>
          <w:p>
            <w:pPr>
              <w:spacing w:after="0"/>
              <w:rPr>
                <w:sz w:val="17"/>
                <w:szCs w:val="17"/>
                <w:color w:val="auto"/>
              </w:rPr>
            </w:pPr>
          </w:p>
        </w:tc>
        <w:tc>
          <w:tcPr>
            <w:tcW w:w="34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7"/>
                <w:szCs w:val="17"/>
                <w:color w:val="auto"/>
              </w:rPr>
            </w:pPr>
          </w:p>
        </w:tc>
        <w:tc>
          <w:tcPr>
            <w:tcW w:w="920" w:type="dxa"/>
            <w:vAlign w:val="bottom"/>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2160" w:type="dxa"/>
            <w:vAlign w:val="bottom"/>
            <w:gridSpan w:val="2"/>
          </w:tcPr>
          <w:p>
            <w:pPr>
              <w:jc w:val="right"/>
              <w:ind w:right="500"/>
              <w:spacing w:after="0" w:line="203" w:lineRule="exact"/>
              <w:rPr>
                <w:sz w:val="20"/>
                <w:szCs w:val="20"/>
                <w:color w:val="auto"/>
              </w:rPr>
            </w:pPr>
            <w:r>
              <w:rPr>
                <w:rFonts w:ascii="Arial" w:cs="Arial" w:eastAsia="Arial" w:hAnsi="Arial"/>
                <w:sz w:val="18"/>
                <w:szCs w:val="18"/>
                <w:color w:val="auto"/>
              </w:rPr>
              <w:t>(630)</w:t>
            </w:r>
          </w:p>
        </w:tc>
        <w:tc>
          <w:tcPr>
            <w:tcW w:w="14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March 31, 2020</w:t>
            </w:r>
          </w:p>
        </w:tc>
        <w:tc>
          <w:tcPr>
            <w:tcW w:w="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b w:val="1"/>
                <w:bCs w:val="1"/>
                <w:color w:val="auto"/>
                <w:w w:val="97"/>
              </w:rPr>
              <w:t>18,782,620</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5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b w:val="1"/>
                <w:bCs w:val="1"/>
                <w:color w:val="auto"/>
              </w:rPr>
              <w:t>(3,951,045)</w:t>
            </w:r>
          </w:p>
        </w:tc>
        <w:tc>
          <w:tcPr>
            <w:tcW w:w="21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b w:val="1"/>
                <w:bCs w:val="1"/>
                <w:color w:val="auto"/>
              </w:rPr>
              <w:t>(988)</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(3,952,022)</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January 1, 2021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vMerge w:val="continue"/>
          </w:tcPr>
          <w:p>
            <w:pPr>
              <w:spacing w:after="0"/>
              <w:rPr>
                <w:sz w:val="17"/>
                <w:szCs w:val="17"/>
                <w:color w:val="auto"/>
              </w:rPr>
            </w:pPr>
          </w:p>
        </w:tc>
        <w:tc>
          <w:tcPr>
            <w:tcW w:w="960" w:type="dxa"/>
            <w:vAlign w:val="bottom"/>
          </w:tcPr>
          <w:p>
            <w:pPr>
              <w:ind w:left="60"/>
              <w:spacing w:after="0" w:line="196" w:lineRule="exact"/>
              <w:rPr>
                <w:sz w:val="20"/>
                <w:szCs w:val="20"/>
                <w:color w:val="auto"/>
              </w:rPr>
            </w:pPr>
            <w:r>
              <w:rPr>
                <w:rFonts w:ascii="Arial" w:cs="Arial" w:eastAsia="Arial" w:hAnsi="Arial"/>
                <w:sz w:val="18"/>
                <w:szCs w:val="18"/>
                <w:b w:val="1"/>
                <w:bCs w:val="1"/>
                <w:color w:val="auto"/>
                <w:w w:val="97"/>
              </w:rPr>
              <w:t>18,782,620</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(5,213,773)</w:t>
            </w:r>
          </w:p>
        </w:tc>
        <w:tc>
          <w:tcPr>
            <w:tcW w:w="58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2,083</w:t>
            </w:r>
          </w:p>
        </w:tc>
        <w:tc>
          <w:tcPr>
            <w:tcW w:w="56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(5,211,679)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146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2"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441"/>
              <w:spacing w:after="0" w:line="202" w:lineRule="exact"/>
              <w:rPr>
                <w:sz w:val="20"/>
                <w:szCs w:val="20"/>
                <w:color w:val="auto"/>
              </w:rPr>
            </w:pPr>
            <w:r>
              <w:rPr>
                <w:rFonts w:ascii="Arial" w:cs="Arial" w:eastAsia="Arial" w:hAnsi="Arial"/>
                <w:sz w:val="18"/>
                <w:szCs w:val="18"/>
                <w:color w:val="auto"/>
              </w:rPr>
              <w:t>(94,781)</w:t>
            </w:r>
          </w:p>
        </w:tc>
        <w:tc>
          <w:tcPr>
            <w:tcW w:w="21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(94,781)</w:t>
            </w:r>
          </w:p>
        </w:tc>
        <w:tc>
          <w:tcPr>
            <w:tcW w:w="0" w:type="dxa"/>
            <w:vAlign w:val="bottom"/>
          </w:tcPr>
          <w:p>
            <w:pPr>
              <w:spacing w:after="0"/>
              <w:rPr>
                <w:sz w:val="1"/>
                <w:szCs w:val="1"/>
                <w:color w:val="auto"/>
              </w:rPr>
            </w:pPr>
          </w:p>
        </w:tc>
      </w:tr>
      <w:tr>
        <w:trPr>
          <w:trHeight w:val="202"/>
        </w:trPr>
        <w:tc>
          <w:tcPr>
            <w:tcW w:w="3600" w:type="dxa"/>
            <w:vAlign w:val="bottom"/>
          </w:tcPr>
          <w:p>
            <w:pPr>
              <w:ind w:left="360"/>
              <w:spacing w:after="0" w:line="201" w:lineRule="exact"/>
              <w:rPr>
                <w:sz w:val="20"/>
                <w:szCs w:val="20"/>
                <w:color w:val="auto"/>
              </w:rPr>
            </w:pPr>
            <w:r>
              <w:rPr>
                <w:rFonts w:ascii="Arial" w:cs="Arial" w:eastAsia="Arial" w:hAnsi="Arial"/>
                <w:sz w:val="18"/>
                <w:szCs w:val="18"/>
                <w:color w:val="auto"/>
              </w:rPr>
              <w:t>Accretion on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540"/>
              <w:spacing w:after="0" w:line="203" w:lineRule="exact"/>
              <w:rPr>
                <w:sz w:val="20"/>
                <w:szCs w:val="20"/>
                <w:color w:val="auto"/>
              </w:rPr>
            </w:pPr>
            <w:r>
              <w:rPr>
                <w:rFonts w:ascii="Arial" w:cs="Arial" w:eastAsia="Arial" w:hAnsi="Arial"/>
                <w:sz w:val="18"/>
                <w:szCs w:val="18"/>
                <w:color w:val="auto"/>
              </w:rPr>
              <w:t>redeemable preferred shares</w:t>
            </w:r>
          </w:p>
        </w:tc>
        <w:tc>
          <w:tcPr>
            <w:tcW w:w="1460" w:type="dxa"/>
            <w:vAlign w:val="bottom"/>
            <w:gridSpan w:val="3"/>
          </w:tcPr>
          <w:p>
            <w:pPr>
              <w:ind w:left="68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441"/>
              <w:spacing w:after="0" w:line="203" w:lineRule="exact"/>
              <w:rPr>
                <w:sz w:val="20"/>
                <w:szCs w:val="20"/>
                <w:color w:val="auto"/>
              </w:rPr>
            </w:pPr>
            <w:r>
              <w:rPr>
                <w:rFonts w:ascii="Arial" w:cs="Arial" w:eastAsia="Arial" w:hAnsi="Arial"/>
                <w:sz w:val="18"/>
                <w:szCs w:val="18"/>
                <w:color w:val="auto"/>
              </w:rPr>
              <w:t>(508,627)</w:t>
            </w:r>
          </w:p>
        </w:tc>
        <w:tc>
          <w:tcPr>
            <w:tcW w:w="2160" w:type="dxa"/>
            <w:vAlign w:val="bottom"/>
            <w:gridSpan w:val="2"/>
          </w:tcPr>
          <w:p>
            <w:pPr>
              <w:jc w:val="right"/>
              <w:ind w:right="660"/>
              <w:spacing w:after="0" w:line="203"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(508,627)</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Foreign currency translation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adjustments</w:t>
            </w:r>
          </w:p>
        </w:tc>
        <w:tc>
          <w:tcPr>
            <w:tcW w:w="1460" w:type="dxa"/>
            <w:vAlign w:val="bottom"/>
            <w:gridSpan w:val="3"/>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540"/>
              <w:spacing w:after="0" w:line="203"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601"/>
              <w:spacing w:after="0" w:line="203"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(275)</w:t>
            </w:r>
          </w:p>
        </w:tc>
        <w:tc>
          <w:tcPr>
            <w:tcW w:w="1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9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18,782,620</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5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(5,817,181</w:t>
            </w:r>
          </w:p>
        </w:tc>
        <w:tc>
          <w:tcPr>
            <w:tcW w:w="580" w:type="dxa"/>
            <w:vAlign w:val="bottom"/>
          </w:tcPr>
          <w:p>
            <w:pPr>
              <w:jc w:val="right"/>
              <w:ind w:right="441"/>
              <w:spacing w:after="0"/>
              <w:rPr>
                <w:sz w:val="20"/>
                <w:szCs w:val="20"/>
                <w:color w:val="auto"/>
              </w:rPr>
            </w:pPr>
            <w:r>
              <w:rPr>
                <w:rFonts w:ascii="Arial" w:cs="Arial" w:eastAsia="Arial" w:hAnsi="Arial"/>
                <w:sz w:val="16"/>
                <w:szCs w:val="16"/>
                <w:b w:val="1"/>
                <w:bCs w:val="1"/>
                <w:color w:val="auto"/>
                <w:w w:val="7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1,808</w:t>
            </w:r>
          </w:p>
        </w:tc>
        <w:tc>
          <w:tcPr>
            <w:tcW w:w="5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(5,815,362)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2240"/>
        <w:spacing w:after="0" w:line="247" w:lineRule="auto"/>
        <w:rPr>
          <w:sz w:val="20"/>
          <w:szCs w:val="20"/>
          <w:color w:val="auto"/>
        </w:rPr>
      </w:pPr>
      <w:r>
        <w:rPr>
          <w:rFonts w:ascii="Arial" w:cs="Arial" w:eastAsia="Arial" w:hAnsi="Arial"/>
          <w:sz w:val="18"/>
          <w:szCs w:val="18"/>
          <w:b w:val="1"/>
          <w:bCs w:val="1"/>
          <w:color w:val="auto"/>
        </w:rPr>
        <w:t>AIHUISHOU INTERNATIONAL CO. LTD. UNAUDITED CONDENSED CONSOLIDATED STATEMENTS OF CASH FLOWS FOR THE THREE MONTHS ENDED MARCH 31, 2020 AND 2021 (Amounts in thousands, except for share, per share data or otherwise noted)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18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9140" w:type="dxa"/>
            <w:vAlign w:val="bottom"/>
          </w:tcPr>
          <w:p>
            <w:pPr>
              <w:spacing w:after="0"/>
              <w:rPr>
                <w:sz w:val="15"/>
                <w:szCs w:val="15"/>
                <w:color w:val="auto"/>
              </w:rPr>
            </w:pPr>
          </w:p>
        </w:tc>
        <w:tc>
          <w:tcPr>
            <w:tcW w:w="18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9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140" w:type="dxa"/>
            <w:vAlign w:val="bottom"/>
          </w:tcPr>
          <w:p>
            <w:pPr>
              <w:spacing w:after="0"/>
              <w:rPr>
                <w:sz w:val="13"/>
                <w:szCs w:val="13"/>
                <w:color w:val="auto"/>
              </w:rPr>
            </w:pPr>
          </w:p>
        </w:tc>
        <w:tc>
          <w:tcPr>
            <w:tcW w:w="760" w:type="dxa"/>
            <w:vAlign w:val="bottom"/>
          </w:tcPr>
          <w:p>
            <w:pPr>
              <w:jc w:val="right"/>
              <w:ind w:right="140"/>
              <w:spacing w:after="0" w:line="155"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3"/>
                <w:szCs w:val="13"/>
                <w:color w:val="auto"/>
              </w:rPr>
            </w:pPr>
          </w:p>
        </w:tc>
        <w:tc>
          <w:tcPr>
            <w:tcW w:w="80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spacing w:after="0"/>
              <w:rPr>
                <w:sz w:val="20"/>
                <w:szCs w:val="20"/>
                <w:color w:val="auto"/>
              </w:rPr>
            </w:pPr>
            <w:r>
              <w:rPr>
                <w:rFonts w:ascii="Arial" w:cs="Arial" w:eastAsia="Arial" w:hAnsi="Arial"/>
                <w:sz w:val="16"/>
                <w:szCs w:val="16"/>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(186,265)</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(94,781)</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Depreciation and amortization</w:t>
            </w:r>
          </w:p>
        </w:tc>
        <w:tc>
          <w:tcPr>
            <w:tcW w:w="760" w:type="dxa"/>
            <w:vAlign w:val="bottom"/>
          </w:tcPr>
          <w:p>
            <w:pPr>
              <w:jc w:val="right"/>
              <w:spacing w:after="0"/>
              <w:rPr>
                <w:sz w:val="20"/>
                <w:szCs w:val="20"/>
                <w:color w:val="auto"/>
              </w:rPr>
            </w:pPr>
            <w:r>
              <w:rPr>
                <w:rFonts w:ascii="Arial" w:cs="Arial" w:eastAsia="Arial" w:hAnsi="Arial"/>
                <w:sz w:val="16"/>
                <w:szCs w:val="16"/>
                <w:color w:val="auto"/>
              </w:rPr>
              <w:t>94,116</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86,922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on the disposal of property and equipment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944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Provision for allowance for doubtful accounts</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8,536</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 of loss in equity method investments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4,281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Foreign exchange (gains) losses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(5,870)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(1,769)</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640"/>
              <w:spacing w:after="0"/>
              <w:rPr>
                <w:sz w:val="20"/>
                <w:szCs w:val="20"/>
                <w:color w:val="auto"/>
              </w:rPr>
            </w:pPr>
            <w:r>
              <w:rPr>
                <w:rFonts w:ascii="Arial" w:cs="Arial" w:eastAsia="Arial" w:hAnsi="Arial"/>
                <w:sz w:val="16"/>
                <w:szCs w:val="16"/>
                <w:color w:val="auto"/>
              </w:rPr>
              <w:t>Inventories, net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(41,725)</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(140,768)</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Prepayments and other receivables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(251,092)</w:t>
            </w:r>
          </w:p>
        </w:tc>
        <w:tc>
          <w:tcPr>
            <w:tcW w:w="0" w:type="dxa"/>
            <w:vAlign w:val="bottom"/>
          </w:tcPr>
          <w:p>
            <w:pPr>
              <w:spacing w:after="0"/>
              <w:rPr>
                <w:sz w:val="1"/>
                <w:szCs w:val="1"/>
                <w:color w:val="auto"/>
              </w:rPr>
            </w:pPr>
          </w:p>
        </w:tc>
      </w:tr>
      <w:tr>
        <w:trPr>
          <w:trHeight w:val="189"/>
        </w:trPr>
        <w:tc>
          <w:tcPr>
            <w:tcW w:w="9140" w:type="dxa"/>
            <w:vAlign w:val="bottom"/>
          </w:tcPr>
          <w:p>
            <w:pPr>
              <w:ind w:left="640"/>
              <w:spacing w:after="0"/>
              <w:rPr>
                <w:sz w:val="20"/>
                <w:szCs w:val="20"/>
                <w:color w:val="auto"/>
              </w:rPr>
            </w:pPr>
            <w:r>
              <w:rPr>
                <w:rFonts w:ascii="Arial" w:cs="Arial" w:eastAsia="Arial" w:hAnsi="Arial"/>
                <w:sz w:val="16"/>
                <w:szCs w:val="16"/>
                <w:color w:val="auto"/>
              </w:rPr>
              <w:t>Amount due from related parties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(23,111)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(8,743)</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Funds receivable from third party payment service provider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45,386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640"/>
              <w:spacing w:after="0"/>
              <w:rPr>
                <w:sz w:val="20"/>
                <w:szCs w:val="20"/>
                <w:color w:val="auto"/>
              </w:rPr>
            </w:pPr>
            <w:r>
              <w:rPr>
                <w:rFonts w:ascii="Arial" w:cs="Arial" w:eastAsia="Arial" w:hAnsi="Arial"/>
                <w:sz w:val="16"/>
                <w:szCs w:val="16"/>
                <w:color w:val="auto"/>
              </w:rPr>
              <w:t>Other non-current assets</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2,424</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Account payables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882</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640"/>
              <w:spacing w:after="0"/>
              <w:rPr>
                <w:sz w:val="20"/>
                <w:szCs w:val="20"/>
                <w:color w:val="auto"/>
              </w:rPr>
            </w:pPr>
            <w:r>
              <w:rPr>
                <w:rFonts w:ascii="Arial" w:cs="Arial" w:eastAsia="Arial" w:hAnsi="Arial"/>
                <w:sz w:val="16"/>
                <w:szCs w:val="16"/>
                <w:color w:val="auto"/>
              </w:rPr>
              <w:t>Accrued expenses and other current liabilities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(13,460)</w:t>
            </w:r>
          </w:p>
        </w:tc>
        <w:tc>
          <w:tcPr>
            <w:tcW w:w="800" w:type="dxa"/>
            <w:vAlign w:val="bottom"/>
          </w:tcPr>
          <w:p>
            <w:pPr>
              <w:jc w:val="right"/>
              <w:spacing w:after="0"/>
              <w:rPr>
                <w:sz w:val="20"/>
                <w:szCs w:val="20"/>
                <w:color w:val="auto"/>
              </w:rPr>
            </w:pPr>
            <w:r>
              <w:rPr>
                <w:rFonts w:ascii="Arial" w:cs="Arial" w:eastAsia="Arial" w:hAnsi="Arial"/>
                <w:sz w:val="16"/>
                <w:szCs w:val="16"/>
                <w:color w:val="auto"/>
              </w:rPr>
              <w:t>69,556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payroll and welfare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(27,866)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6,708</w:t>
            </w:r>
          </w:p>
        </w:tc>
        <w:tc>
          <w:tcPr>
            <w:tcW w:w="0" w:type="dxa"/>
            <w:vAlign w:val="bottom"/>
          </w:tcPr>
          <w:p>
            <w:pPr>
              <w:spacing w:after="0"/>
              <w:rPr>
                <w:sz w:val="1"/>
                <w:szCs w:val="1"/>
                <w:color w:val="auto"/>
              </w:rPr>
            </w:pPr>
          </w:p>
        </w:tc>
      </w:tr>
      <w:tr>
        <w:trPr>
          <w:trHeight w:val="189"/>
        </w:trPr>
        <w:tc>
          <w:tcPr>
            <w:tcW w:w="9140" w:type="dxa"/>
            <w:vAlign w:val="bottom"/>
          </w:tcPr>
          <w:p>
            <w:pPr>
              <w:ind w:left="640"/>
              <w:spacing w:after="0"/>
              <w:rPr>
                <w:sz w:val="20"/>
                <w:szCs w:val="20"/>
                <w:color w:val="auto"/>
              </w:rPr>
            </w:pPr>
            <w:r>
              <w:rPr>
                <w:rFonts w:ascii="Arial" w:cs="Arial" w:eastAsia="Arial" w:hAnsi="Arial"/>
                <w:sz w:val="16"/>
                <w:szCs w:val="16"/>
                <w:color w:val="auto"/>
              </w:rPr>
              <w:t>Amount due to related parties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(46,855)</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(10,200)</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tax liabilities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(12,028)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(19,459)</w:t>
            </w:r>
          </w:p>
        </w:tc>
        <w:tc>
          <w:tcPr>
            <w:tcW w:w="0" w:type="dxa"/>
            <w:vAlign w:val="bottom"/>
          </w:tcPr>
          <w:p>
            <w:pPr>
              <w:spacing w:after="0"/>
              <w:rPr>
                <w:sz w:val="1"/>
                <w:szCs w:val="1"/>
                <w:color w:val="auto"/>
              </w:rPr>
            </w:pPr>
          </w:p>
        </w:tc>
      </w:tr>
      <w:tr>
        <w:trPr>
          <w:trHeight w:val="203"/>
        </w:trPr>
        <w:tc>
          <w:tcPr>
            <w:tcW w:w="9140" w:type="dxa"/>
            <w:vAlign w:val="bottom"/>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(203,109)</w:t>
            </w:r>
          </w:p>
        </w:tc>
        <w:tc>
          <w:tcPr>
            <w:tcW w:w="2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(302,526)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Purchase of property and equipment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(14,091)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(4,773)</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disposal of property and equipment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5,225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Purchases of short-term investments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(27,701)</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(246,110)</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short-term investments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70,851</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343,696</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Payment for investments in equity investees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(8,000)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 for loan to related parties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15,816</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72,205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40" w:type="dxa"/>
            <w:vAlign w:val="bottom"/>
          </w:tcPr>
          <w:p>
            <w:pPr>
              <w:ind w:left="320"/>
              <w:spacing w:after="0"/>
              <w:rPr>
                <w:sz w:val="20"/>
                <w:szCs w:val="20"/>
                <w:color w:val="auto"/>
              </w:rPr>
            </w:pPr>
            <w:r>
              <w:rPr>
                <w:rFonts w:ascii="Arial" w:cs="Arial" w:eastAsia="Arial" w:hAnsi="Arial"/>
                <w:sz w:val="16"/>
                <w:szCs w:val="16"/>
                <w:color w:val="auto"/>
              </w:rPr>
              <w:t>Loan to related parties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(34,312)</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(69,400)</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provided by investing activities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7,788</w:t>
            </w:r>
          </w:p>
        </w:tc>
        <w:tc>
          <w:tcPr>
            <w:tcW w:w="200" w:type="dxa"/>
            <w:vAlign w:val="bottom"/>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86,845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short-term borrowings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131,240</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124,004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Repayment for short-term borrowings</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(44,040)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(152,489)</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 of related party loan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140" w:type="dxa"/>
            <w:vAlign w:val="bottom"/>
          </w:tcPr>
          <w:p>
            <w:pPr>
              <w:ind w:left="320"/>
              <w:spacing w:after="0"/>
              <w:rPr>
                <w:sz w:val="20"/>
                <w:szCs w:val="20"/>
                <w:color w:val="auto"/>
              </w:rPr>
            </w:pPr>
            <w:r>
              <w:rPr>
                <w:rFonts w:ascii="Arial" w:cs="Arial" w:eastAsia="Arial" w:hAnsi="Arial"/>
                <w:sz w:val="16"/>
                <w:szCs w:val="16"/>
                <w:color w:val="auto"/>
              </w:rPr>
              <w:t>Payment for convertible redeemable preferred shares issuance costs</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(15,618)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provided by (used in) financing activities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86,977</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(44,103)</w:t>
            </w:r>
          </w:p>
        </w:tc>
        <w:tc>
          <w:tcPr>
            <w:tcW w:w="0" w:type="dxa"/>
            <w:vAlign w:val="bottom"/>
          </w:tcPr>
          <w:p>
            <w:pPr>
              <w:spacing w:after="0"/>
              <w:rPr>
                <w:sz w:val="1"/>
                <w:szCs w:val="1"/>
                <w:color w:val="auto"/>
              </w:rPr>
            </w:pPr>
          </w:p>
        </w:tc>
      </w:tr>
      <w:tr>
        <w:trPr>
          <w:trHeight w:val="203"/>
        </w:trPr>
        <w:tc>
          <w:tcPr>
            <w:tcW w:w="9140" w:type="dxa"/>
            <w:vAlign w:val="bottom"/>
          </w:tcPr>
          <w:p>
            <w:pPr>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2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decrease in cash, cash equivalents and restricted cash</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(106,336)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(257,053)</w:t>
            </w:r>
          </w:p>
        </w:tc>
        <w:tc>
          <w:tcPr>
            <w:tcW w:w="0" w:type="dxa"/>
            <w:vAlign w:val="bottom"/>
          </w:tcPr>
          <w:p>
            <w:pPr>
              <w:spacing w:after="0"/>
              <w:rPr>
                <w:sz w:val="1"/>
                <w:szCs w:val="1"/>
                <w:color w:val="auto"/>
              </w:rPr>
            </w:pPr>
          </w:p>
        </w:tc>
      </w:tr>
      <w:tr>
        <w:trPr>
          <w:trHeight w:val="196"/>
        </w:trPr>
        <w:tc>
          <w:tcPr>
            <w:tcW w:w="9140" w:type="dxa"/>
            <w:vAlign w:val="bottom"/>
          </w:tcPr>
          <w:p>
            <w:pPr>
              <w:spacing w:after="0"/>
              <w:rPr>
                <w:sz w:val="20"/>
                <w:szCs w:val="20"/>
                <w:color w:val="auto"/>
              </w:rPr>
            </w:pPr>
            <w:r>
              <w:rPr>
                <w:rFonts w:ascii="Arial" w:cs="Arial" w:eastAsia="Arial" w:hAnsi="Arial"/>
                <w:sz w:val="16"/>
                <w:szCs w:val="16"/>
                <w:b w:val="1"/>
                <w:bCs w:val="1"/>
                <w:color w:val="auto"/>
              </w:rPr>
              <w:t>Cash, cash equivalent and restricted cash at the beginning of the period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411,083</w:t>
            </w:r>
          </w:p>
        </w:tc>
        <w:tc>
          <w:tcPr>
            <w:tcW w:w="2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918,376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cash equivalent and restricted cash at the end of the period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304,747</w:t>
            </w:r>
          </w:p>
        </w:tc>
        <w:tc>
          <w:tcPr>
            <w:tcW w:w="2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661,323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in amounts on the condensed consolidated balance sheets:</w:t>
            </w: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304,447</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657,218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140" w:type="dxa"/>
            <w:vAlign w:val="bottom"/>
          </w:tcPr>
          <w:p>
            <w:pPr>
              <w:spacing w:after="0"/>
              <w:rPr>
                <w:sz w:val="20"/>
                <w:szCs w:val="20"/>
                <w:color w:val="auto"/>
              </w:rPr>
            </w:pPr>
            <w:r>
              <w:rPr>
                <w:rFonts w:ascii="Arial" w:cs="Arial" w:eastAsia="Arial" w:hAnsi="Arial"/>
                <w:sz w:val="16"/>
                <w:szCs w:val="16"/>
                <w:color w:val="auto"/>
              </w:rPr>
              <w:t>Restricted cash, included in the prepayments and other receivables, net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300</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4,105</w:t>
            </w: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cash, cash equivalents, and restricted cash</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304,747</w:t>
            </w:r>
          </w:p>
        </w:tc>
        <w:tc>
          <w:tcPr>
            <w:tcW w:w="200" w:type="dxa"/>
            <w:vAlign w:val="bottom"/>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661,323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cash flow disclosures of continuing operations:</w:t>
            </w: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expenses paid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3,535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6,552</w:t>
            </w:r>
          </w:p>
        </w:tc>
        <w:tc>
          <w:tcPr>
            <w:tcW w:w="0" w:type="dxa"/>
            <w:vAlign w:val="bottom"/>
          </w:tcPr>
          <w:p>
            <w:pPr>
              <w:spacing w:after="0"/>
              <w:rPr>
                <w:sz w:val="1"/>
                <w:szCs w:val="1"/>
                <w:color w:val="auto"/>
              </w:rPr>
            </w:pPr>
          </w:p>
        </w:tc>
      </w:tr>
      <w:tr>
        <w:trPr>
          <w:trHeight w:val="189"/>
        </w:trPr>
        <w:tc>
          <w:tcPr>
            <w:tcW w:w="914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40" w:type="dxa"/>
            <w:vAlign w:val="bottom"/>
            <w:shd w:val="clear" w:color="auto" w:fill="CCEEFF"/>
          </w:tcPr>
          <w:p>
            <w:pPr>
              <w:spacing w:after="0"/>
              <w:rPr>
                <w:sz w:val="20"/>
                <w:szCs w:val="20"/>
                <w:color w:val="auto"/>
              </w:rPr>
            </w:pPr>
            <w:r>
              <w:rPr>
                <w:rFonts w:ascii="Arial" w:cs="Arial" w:eastAsia="Arial" w:hAnsi="Arial"/>
                <w:sz w:val="16"/>
                <w:szCs w:val="16"/>
                <w:color w:val="auto"/>
              </w:rPr>
              <w:t>Accretion of convertible redeemable preferred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326,123</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508,627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7400" w:hanging="4"/>
        <w:spacing w:after="0" w:line="372" w:lineRule="auto"/>
        <w:tabs>
          <w:tab w:leader="none" w:pos="6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principal activities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AiHuiShou International Co. Ltd. (the “Company”) was incorporated under the laws of the Cayman Islands on November 22, 2011. The Company through its wholly-owned subsidiaries, variable interest entity (“VIE”) and VIE’s subsidiaries (collectively, the “Group”) primarily sell pre-owned consumer electronics through its online platforms and offline stores, and provide services to third-party merchants to sell the products through its platforms. The Group’s principal operations and geographic markets are in the People’s Republic of China (“PRC”).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Company’s major subsidiaries, VIE and VIE’s subsidiaries are as follows: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Date of</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Place of</w:t>
            </w:r>
          </w:p>
        </w:tc>
        <w:tc>
          <w:tcPr>
            <w:tcW w:w="30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direct/</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incorporation/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incorporation/</w:t>
            </w:r>
          </w:p>
        </w:tc>
        <w:tc>
          <w:tcPr>
            <w:tcW w:w="3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indirect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establishment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establishment</w:t>
            </w:r>
          </w:p>
        </w:tc>
        <w:tc>
          <w:tcPr>
            <w:tcW w:w="3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196"/>
        </w:trPr>
        <w:tc>
          <w:tcPr>
            <w:tcW w:w="1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Subsidiaries</w:t>
            </w:r>
          </w:p>
        </w:tc>
        <w:tc>
          <w:tcPr>
            <w:tcW w:w="4380" w:type="dxa"/>
            <w:vAlign w:val="bottom"/>
            <w:tcBorders>
              <w:top w:val="single" w:sz="8" w:color="CCEEFF"/>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AiHuiShou International Company Limited</w:t>
            </w:r>
          </w:p>
        </w:tc>
        <w:tc>
          <w:tcPr>
            <w:tcW w:w="2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January 13, 2012</w:t>
            </w:r>
          </w:p>
        </w:tc>
        <w:tc>
          <w:tcPr>
            <w:tcW w:w="28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Hong Kong</w:t>
            </w: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4380" w:type="dxa"/>
            <w:vAlign w:val="bottom"/>
          </w:tcPr>
          <w:p>
            <w:pPr>
              <w:ind w:left="320"/>
              <w:spacing w:after="0" w:line="201" w:lineRule="exact"/>
              <w:rPr>
                <w:sz w:val="20"/>
                <w:szCs w:val="20"/>
                <w:color w:val="auto"/>
              </w:rPr>
            </w:pPr>
            <w:r>
              <w:rPr>
                <w:rFonts w:ascii="Arial" w:cs="Arial" w:eastAsia="Arial" w:hAnsi="Arial"/>
                <w:sz w:val="18"/>
                <w:szCs w:val="18"/>
                <w:color w:val="auto"/>
              </w:rPr>
              <w:t>Shanghai Aihui Trading Co., Ltd (“Shanghai</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4380" w:type="dxa"/>
            <w:vAlign w:val="bottom"/>
          </w:tcPr>
          <w:p>
            <w:pPr>
              <w:ind w:left="320"/>
              <w:spacing w:after="0" w:line="203" w:lineRule="exact"/>
              <w:rPr>
                <w:sz w:val="20"/>
                <w:szCs w:val="20"/>
                <w:color w:val="auto"/>
              </w:rPr>
            </w:pPr>
            <w:r>
              <w:rPr>
                <w:rFonts w:ascii="Arial" w:cs="Arial" w:eastAsia="Arial" w:hAnsi="Arial"/>
                <w:sz w:val="18"/>
                <w:szCs w:val="18"/>
                <w:color w:val="auto"/>
              </w:rPr>
              <w:t>Aihui”)</w:t>
            </w:r>
          </w:p>
        </w:tc>
        <w:tc>
          <w:tcPr>
            <w:tcW w:w="232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August 16, 2012</w:t>
            </w:r>
          </w:p>
        </w:tc>
        <w:tc>
          <w:tcPr>
            <w:tcW w:w="1620" w:type="dxa"/>
            <w:vAlign w:val="bottom"/>
          </w:tcPr>
          <w:p>
            <w:pPr>
              <w:jc w:val="center"/>
              <w:spacing w:after="0" w:line="203" w:lineRule="exact"/>
              <w:rPr>
                <w:sz w:val="20"/>
                <w:szCs w:val="20"/>
                <w:color w:val="auto"/>
              </w:rPr>
            </w:pPr>
            <w:r>
              <w:rPr>
                <w:rFonts w:ascii="Arial" w:cs="Arial" w:eastAsia="Arial" w:hAnsi="Arial"/>
                <w:sz w:val="18"/>
                <w:szCs w:val="18"/>
                <w:color w:val="auto"/>
              </w:rPr>
              <w:t>Mainland China</w:t>
            </w:r>
          </w:p>
        </w:tc>
        <w:tc>
          <w:tcPr>
            <w:tcW w:w="1260" w:type="dxa"/>
            <w:vAlign w:val="bottom"/>
            <w:gridSpan w:val="2"/>
          </w:tcPr>
          <w:p>
            <w:pPr>
              <w:ind w:left="30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43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AHS Device Hong Kong Limited</w:t>
            </w:r>
          </w:p>
        </w:tc>
        <w:tc>
          <w:tcPr>
            <w:tcW w:w="23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March 8, 2017</w:t>
            </w:r>
          </w:p>
        </w:tc>
        <w:tc>
          <w:tcPr>
            <w:tcW w:w="1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Hong Kong</w:t>
            </w:r>
          </w:p>
        </w:tc>
        <w:tc>
          <w:tcPr>
            <w:tcW w:w="12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1440" w:type="dxa"/>
            <w:vAlign w:val="bottom"/>
          </w:tcPr>
          <w:p>
            <w:pPr>
              <w:spacing w:after="0" w:line="201" w:lineRule="exact"/>
              <w:rPr>
                <w:sz w:val="20"/>
                <w:szCs w:val="20"/>
                <w:color w:val="auto"/>
              </w:rPr>
            </w:pPr>
            <w:r>
              <w:rPr>
                <w:rFonts w:ascii="Arial" w:cs="Arial" w:eastAsia="Arial" w:hAnsi="Arial"/>
                <w:sz w:val="18"/>
                <w:szCs w:val="18"/>
                <w:color w:val="auto"/>
              </w:rPr>
              <w:t>VIE and VIE’s</w:t>
            </w:r>
          </w:p>
        </w:tc>
        <w:tc>
          <w:tcPr>
            <w:tcW w:w="4380" w:type="dxa"/>
            <w:vAlign w:val="bottom"/>
          </w:tcPr>
          <w:p>
            <w:pPr>
              <w:ind w:left="320"/>
              <w:spacing w:after="0" w:line="201" w:lineRule="exact"/>
              <w:rPr>
                <w:sz w:val="20"/>
                <w:szCs w:val="20"/>
                <w:color w:val="auto"/>
              </w:rPr>
            </w:pPr>
            <w:r>
              <w:rPr>
                <w:rFonts w:ascii="Arial" w:cs="Arial" w:eastAsia="Arial" w:hAnsi="Arial"/>
                <w:sz w:val="18"/>
                <w:szCs w:val="18"/>
                <w:color w:val="auto"/>
              </w:rPr>
              <w:t>Shanghai Yueyee Network Information</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20"/>
                <w:szCs w:val="20"/>
                <w:color w:val="auto"/>
              </w:rPr>
            </w:pPr>
            <w:r>
              <w:rPr>
                <w:rFonts w:ascii="Arial" w:cs="Arial" w:eastAsia="Arial" w:hAnsi="Arial"/>
                <w:sz w:val="18"/>
                <w:szCs w:val="18"/>
                <w:color w:val="auto"/>
              </w:rPr>
              <w:t>subsidiaries</w:t>
            </w:r>
          </w:p>
        </w:tc>
        <w:tc>
          <w:tcPr>
            <w:tcW w:w="4380" w:type="dxa"/>
            <w:vAlign w:val="bottom"/>
          </w:tcPr>
          <w:p>
            <w:pPr>
              <w:ind w:left="320"/>
              <w:spacing w:after="0"/>
              <w:rPr>
                <w:sz w:val="20"/>
                <w:szCs w:val="20"/>
                <w:color w:val="auto"/>
              </w:rPr>
            </w:pPr>
            <w:r>
              <w:rPr>
                <w:rFonts w:ascii="Arial" w:cs="Arial" w:eastAsia="Arial" w:hAnsi="Arial"/>
                <w:sz w:val="18"/>
                <w:szCs w:val="18"/>
                <w:color w:val="auto"/>
              </w:rPr>
              <w:t>Technology Co., Ltd (“Shanghai Yueyee”)</w:t>
            </w: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May 21, 2010</w:t>
            </w:r>
          </w:p>
        </w:tc>
        <w:tc>
          <w:tcPr>
            <w:tcW w:w="1620" w:type="dxa"/>
            <w:vAlign w:val="bottom"/>
          </w:tcPr>
          <w:p>
            <w:pPr>
              <w:jc w:val="center"/>
              <w:spacing w:after="0"/>
              <w:rPr>
                <w:sz w:val="20"/>
                <w:szCs w:val="20"/>
                <w:color w:val="auto"/>
              </w:rPr>
            </w:pPr>
            <w:r>
              <w:rPr>
                <w:rFonts w:ascii="Arial" w:cs="Arial" w:eastAsia="Arial" w:hAnsi="Arial"/>
                <w:sz w:val="18"/>
                <w:szCs w:val="18"/>
                <w:color w:val="auto"/>
              </w:rPr>
              <w:t>Mainland China</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VIE</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rPr>
                <w:sz w:val="17"/>
                <w:szCs w:val="17"/>
                <w:color w:val="auto"/>
              </w:rPr>
            </w:pPr>
          </w:p>
        </w:tc>
        <w:tc>
          <w:tcPr>
            <w:tcW w:w="43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Shanghai Yueyi Network Information</w:t>
            </w: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438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Technology Co., Ltd (“Shanghai Yueyi”)</w:t>
            </w:r>
          </w:p>
        </w:tc>
        <w:tc>
          <w:tcPr>
            <w:tcW w:w="232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September 6, 2015</w:t>
            </w:r>
          </w:p>
        </w:tc>
        <w:tc>
          <w:tcPr>
            <w:tcW w:w="16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Mainland China</w:t>
            </w:r>
          </w:p>
        </w:tc>
        <w:tc>
          <w:tcPr>
            <w:tcW w:w="1260" w:type="dxa"/>
            <w:vAlign w:val="bottom"/>
            <w:gridSpan w:val="2"/>
            <w:shd w:val="clear" w:color="auto" w:fill="CCEEFF"/>
          </w:tcPr>
          <w:p>
            <w:pPr>
              <w:ind w:left="30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4380" w:type="dxa"/>
            <w:vAlign w:val="bottom"/>
          </w:tcPr>
          <w:p>
            <w:pPr>
              <w:ind w:left="320"/>
              <w:spacing w:after="0" w:line="201" w:lineRule="exact"/>
              <w:rPr>
                <w:sz w:val="20"/>
                <w:szCs w:val="20"/>
                <w:color w:val="auto"/>
              </w:rPr>
            </w:pPr>
            <w:r>
              <w:rPr>
                <w:rFonts w:ascii="Arial" w:cs="Arial" w:eastAsia="Arial" w:hAnsi="Arial"/>
                <w:sz w:val="18"/>
                <w:szCs w:val="18"/>
                <w:color w:val="auto"/>
              </w:rPr>
              <w:t>Changzhou Yueyi Network Information</w:t>
            </w:r>
          </w:p>
        </w:tc>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4380" w:type="dxa"/>
            <w:vAlign w:val="bottom"/>
          </w:tcPr>
          <w:p>
            <w:pPr>
              <w:ind w:left="320"/>
              <w:spacing w:after="0"/>
              <w:rPr>
                <w:sz w:val="20"/>
                <w:szCs w:val="20"/>
                <w:color w:val="auto"/>
              </w:rPr>
            </w:pPr>
            <w:r>
              <w:rPr>
                <w:rFonts w:ascii="Arial" w:cs="Arial" w:eastAsia="Arial" w:hAnsi="Arial"/>
                <w:sz w:val="18"/>
                <w:szCs w:val="18"/>
                <w:color w:val="auto"/>
              </w:rPr>
              <w:t>Technology Co., Ltd (“Changzhou Yueyi”)</w:t>
            </w:r>
          </w:p>
        </w:tc>
        <w:tc>
          <w:tcPr>
            <w:tcW w:w="2320" w:type="dxa"/>
            <w:vAlign w:val="bottom"/>
            <w:gridSpan w:val="2"/>
          </w:tcPr>
          <w:p>
            <w:pPr>
              <w:jc w:val="right"/>
              <w:ind w:right="280"/>
              <w:spacing w:after="0"/>
              <w:rPr>
                <w:sz w:val="20"/>
                <w:szCs w:val="20"/>
                <w:color w:val="auto"/>
              </w:rPr>
            </w:pPr>
            <w:r>
              <w:rPr>
                <w:rFonts w:ascii="Arial" w:cs="Arial" w:eastAsia="Arial" w:hAnsi="Arial"/>
                <w:sz w:val="18"/>
                <w:szCs w:val="18"/>
                <w:color w:val="auto"/>
              </w:rPr>
              <w:t>June 23, 2017</w:t>
            </w:r>
          </w:p>
        </w:tc>
        <w:tc>
          <w:tcPr>
            <w:tcW w:w="1620" w:type="dxa"/>
            <w:vAlign w:val="bottom"/>
          </w:tcPr>
          <w:p>
            <w:pPr>
              <w:jc w:val="center"/>
              <w:spacing w:after="0"/>
              <w:rPr>
                <w:sz w:val="20"/>
                <w:szCs w:val="20"/>
                <w:color w:val="auto"/>
              </w:rPr>
            </w:pPr>
            <w:r>
              <w:rPr>
                <w:rFonts w:ascii="Arial" w:cs="Arial" w:eastAsia="Arial" w:hAnsi="Arial"/>
                <w:sz w:val="18"/>
                <w:szCs w:val="18"/>
                <w:color w:val="auto"/>
              </w:rPr>
              <w:t>Mainland China</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20" w:right="6760" w:hanging="4"/>
        <w:spacing w:after="0" w:line="372" w:lineRule="auto"/>
        <w:tabs>
          <w:tab w:leader="none" w:pos="6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2.1 Basis of Presentation</w:t>
      </w:r>
    </w:p>
    <w:p>
      <w:pPr>
        <w:spacing w:after="0" w:line="1"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generally accepted in the United States of America (“U.S. GAAP”) and applicable rules and regulations of the Securities and Exchange Commission (“SEC”), regarding interim financial reporting, and include all normal and recurring adjustments that management of the Group considers necessary for a fair presentation of its financial position and operating results. Certain information and footnote disclosures normally included in financial statements prepared in accordance with U.S. GAAP have been condensed or omitted pursuant to such rules and regulations. Accordingly, these financial statements should be read in conjunction with the Group’s annual consolidated financial statements and notes thereto.</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580" w:hanging="4"/>
        <w:spacing w:after="0" w:line="380" w:lineRule="auto"/>
        <w:tabs>
          <w:tab w:leader="none" w:pos="6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w:t>
      </w:r>
    </w:p>
    <w:p>
      <w:pPr>
        <w:spacing w:after="0" w:line="1"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condensed consolidated financial statements include the financial statements of the Company, its subsidiaries, VIE and VIE’s subsidiaries in which the Company is the primary beneficiary. The results of the subsidiaries, VIE and VIE’s subsidiaries are consolidated from the date which the Company obtained the control and continue to be consolidated until the date that such control ceases. All intercompany balances and transactions and unrealized profit and losses have been eliminated in consolidation.</w:t>
      </w:r>
    </w:p>
    <w:p>
      <w:pPr>
        <w:spacing w:after="0" w:line="205" w:lineRule="exact"/>
        <w:rPr>
          <w:sz w:val="20"/>
          <w:szCs w:val="20"/>
          <w:color w:val="auto"/>
        </w:rPr>
      </w:pPr>
    </w:p>
    <w:p>
      <w:pPr>
        <w:ind w:left="120" w:right="820" w:firstLine="551"/>
        <w:spacing w:after="0" w:line="246" w:lineRule="auto"/>
        <w:rPr>
          <w:sz w:val="20"/>
          <w:szCs w:val="20"/>
          <w:color w:val="auto"/>
        </w:rPr>
      </w:pPr>
      <w:r>
        <w:rPr>
          <w:rFonts w:ascii="Arial" w:cs="Arial" w:eastAsia="Arial" w:hAnsi="Arial"/>
          <w:sz w:val="18"/>
          <w:szCs w:val="18"/>
          <w:color w:val="auto"/>
        </w:rPr>
        <w:t>The following financial statement amounts and balances of the VIE were included in the condensed consolidated financial statements after elimination of intercompany transactions and balances: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As of</w:t>
            </w:r>
          </w:p>
        </w:tc>
      </w:tr>
      <w:tr>
        <w:trPr>
          <w:trHeight w:val="175"/>
        </w:trPr>
        <w:tc>
          <w:tcPr>
            <w:tcW w:w="52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52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960" w:type="dxa"/>
            <w:vAlign w:val="bottom"/>
            <w:tcBorders>
              <w:top w:val="single" w:sz="8" w:color="auto"/>
              <w:bottom w:val="single" w:sz="8" w:color="auto"/>
            </w:tcBorders>
            <w:gridSpan w:val="2"/>
          </w:tcPr>
          <w:p>
            <w:pPr>
              <w:jc w:val="center"/>
              <w:ind w:left="3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2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445,531</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218,207</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from related parties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289,156</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295,087</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Inventories, net</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151,864</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273,613</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third party payment service providers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122,234</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72,477</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Prepayments and other receivables, net</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185,621</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344,543</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Investment in equity investees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50,149</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58,537</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68,161</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63,468</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Intangible assets, net</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1,365,847</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1,290,002</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Goodwill</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1,799,529</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1,799,529</w:t>
            </w:r>
          </w:p>
        </w:tc>
      </w:tr>
      <w:tr>
        <w:trPr>
          <w:trHeight w:val="202"/>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non-current assets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13,649</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16,410</w:t>
            </w:r>
          </w:p>
        </w:tc>
      </w:tr>
      <w:tr>
        <w:trPr>
          <w:trHeight w:val="210"/>
        </w:trPr>
        <w:tc>
          <w:tcPr>
            <w:tcW w:w="52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360" w:type="dxa"/>
            <w:vAlign w:val="bottom"/>
          </w:tcPr>
          <w:p>
            <w:pPr>
              <w:spacing w:after="0"/>
              <w:rPr>
                <w:sz w:val="18"/>
                <w:szCs w:val="18"/>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4,491,741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4,431,873</w:t>
            </w:r>
          </w:p>
        </w:tc>
        <w:tc>
          <w:tcPr>
            <w:tcW w:w="8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Short-term borrowings</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339,292</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318,992</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 payables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25,573</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42,098</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376,159</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349,612</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welfare</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114,319</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121,622</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Convertible bonds</w:t>
            </w:r>
          </w:p>
        </w:tc>
        <w:tc>
          <w:tcPr>
            <w:tcW w:w="4680" w:type="dxa"/>
            <w:vAlign w:val="bottom"/>
            <w:gridSpan w:val="5"/>
          </w:tcPr>
          <w:p>
            <w:pPr>
              <w:jc w:val="right"/>
              <w:ind w:right="240"/>
              <w:spacing w:after="0" w:line="202" w:lineRule="exact"/>
              <w:rPr>
                <w:sz w:val="20"/>
                <w:szCs w:val="20"/>
                <w:color w:val="auto"/>
              </w:rPr>
            </w:pPr>
            <w:r>
              <w:rPr>
                <w:rFonts w:ascii="Arial" w:cs="Arial" w:eastAsia="Arial" w:hAnsi="Arial"/>
                <w:sz w:val="18"/>
                <w:szCs w:val="18"/>
                <w:color w:val="auto"/>
              </w:rPr>
              <w:t>160,000</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90,000</w:t>
            </w:r>
          </w:p>
        </w:tc>
      </w:tr>
      <w:tr>
        <w:trPr>
          <w:trHeight w:val="203"/>
        </w:trPr>
        <w:tc>
          <w:tcPr>
            <w:tcW w:w="5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Amount due to related parties</w:t>
            </w:r>
          </w:p>
        </w:tc>
        <w:tc>
          <w:tcPr>
            <w:tcW w:w="468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114,551</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70,929</w:t>
            </w:r>
          </w:p>
        </w:tc>
      </w:tr>
      <w:tr>
        <w:trPr>
          <w:trHeight w:val="203"/>
        </w:trPr>
        <w:tc>
          <w:tcPr>
            <w:tcW w:w="5220" w:type="dxa"/>
            <w:vAlign w:val="bottom"/>
          </w:tcPr>
          <w:p>
            <w:pPr>
              <w:ind w:left="360"/>
              <w:spacing w:after="0" w:line="202" w:lineRule="exact"/>
              <w:rPr>
                <w:sz w:val="20"/>
                <w:szCs w:val="20"/>
                <w:color w:val="auto"/>
              </w:rPr>
            </w:pPr>
            <w:r>
              <w:rPr>
                <w:rFonts w:ascii="Arial" w:cs="Arial" w:eastAsia="Arial" w:hAnsi="Arial"/>
                <w:sz w:val="18"/>
                <w:szCs w:val="18"/>
                <w:color w:val="auto"/>
              </w:rPr>
              <w:t>Deferred tax liabilities</w:t>
            </w:r>
          </w:p>
        </w:tc>
        <w:tc>
          <w:tcPr>
            <w:tcW w:w="3360" w:type="dxa"/>
            <w:vAlign w:val="bottom"/>
          </w:tcPr>
          <w:p>
            <w:pPr>
              <w:spacing w:after="0"/>
              <w:rPr>
                <w:sz w:val="17"/>
                <w:szCs w:val="17"/>
                <w:color w:val="auto"/>
              </w:rPr>
            </w:pPr>
          </w:p>
        </w:tc>
        <w:tc>
          <w:tcPr>
            <w:tcW w:w="1320" w:type="dxa"/>
            <w:vAlign w:val="bottom"/>
            <w:gridSpan w:val="4"/>
          </w:tcPr>
          <w:p>
            <w:pPr>
              <w:jc w:val="right"/>
              <w:ind w:right="240"/>
              <w:spacing w:after="0" w:line="202" w:lineRule="exact"/>
              <w:rPr>
                <w:sz w:val="20"/>
                <w:szCs w:val="20"/>
                <w:color w:val="auto"/>
              </w:rPr>
            </w:pPr>
            <w:r>
              <w:rPr>
                <w:rFonts w:ascii="Arial" w:cs="Arial" w:eastAsia="Arial" w:hAnsi="Arial"/>
                <w:sz w:val="18"/>
                <w:szCs w:val="18"/>
                <w:color w:val="auto"/>
              </w:rPr>
              <w:t>341,462</w:t>
            </w:r>
          </w:p>
        </w:tc>
        <w:tc>
          <w:tcPr>
            <w:tcW w:w="40" w:type="dxa"/>
            <w:vAlign w:val="bottom"/>
          </w:tcPr>
          <w:p>
            <w:pPr>
              <w:spacing w:after="0"/>
              <w:rPr>
                <w:sz w:val="17"/>
                <w:szCs w:val="17"/>
                <w:color w:val="auto"/>
              </w:rPr>
            </w:pPr>
          </w:p>
        </w:tc>
        <w:tc>
          <w:tcPr>
            <w:tcW w:w="10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322,035</w:t>
            </w:r>
          </w:p>
        </w:tc>
      </w:tr>
      <w:tr>
        <w:trPr>
          <w:trHeight w:val="27"/>
        </w:trPr>
        <w:tc>
          <w:tcPr>
            <w:tcW w:w="52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Liabilities</w:t>
            </w:r>
          </w:p>
        </w:tc>
        <w:tc>
          <w:tcPr>
            <w:tcW w:w="3360" w:type="dxa"/>
            <w:vAlign w:val="bottom"/>
            <w:shd w:val="clear" w:color="auto" w:fill="CCEEFF"/>
          </w:tcPr>
          <w:p>
            <w:pPr>
              <w:spacing w:after="0"/>
              <w:rPr>
                <w:sz w:val="17"/>
                <w:szCs w:val="17"/>
                <w:color w:val="auto"/>
              </w:rPr>
            </w:pPr>
          </w:p>
        </w:tc>
        <w:tc>
          <w:tcPr>
            <w:tcW w:w="1320" w:type="dxa"/>
            <w:vAlign w:val="bottom"/>
            <w:gridSpan w:val="4"/>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1,471,356</w:t>
            </w:r>
          </w:p>
        </w:tc>
        <w:tc>
          <w:tcPr>
            <w:tcW w:w="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1,315,288</w:t>
            </w:r>
          </w:p>
        </w:tc>
      </w:tr>
      <w:tr>
        <w:trPr>
          <w:trHeight w:val="20"/>
        </w:trPr>
        <w:tc>
          <w:tcPr>
            <w:tcW w:w="52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52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2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5220" w:type="dxa"/>
            <w:vAlign w:val="bottom"/>
          </w:tcPr>
          <w:p>
            <w:pPr>
              <w:spacing w:after="0"/>
              <w:rPr>
                <w:sz w:val="13"/>
                <w:szCs w:val="13"/>
                <w:color w:val="auto"/>
              </w:rPr>
            </w:pPr>
          </w:p>
        </w:tc>
        <w:tc>
          <w:tcPr>
            <w:tcW w:w="3460" w:type="dxa"/>
            <w:vAlign w:val="bottom"/>
            <w:gridSpan w:val="2"/>
          </w:tcPr>
          <w:p>
            <w:pPr>
              <w:spacing w:after="0"/>
              <w:rPr>
                <w:sz w:val="13"/>
                <w:szCs w:val="13"/>
                <w:color w:val="auto"/>
              </w:rPr>
            </w:pPr>
          </w:p>
        </w:tc>
        <w:tc>
          <w:tcPr>
            <w:tcW w:w="8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5220" w:type="dxa"/>
            <w:vAlign w:val="bottom"/>
            <w:tcBorders>
              <w:bottom w:val="single" w:sz="8" w:color="CCEEFF"/>
            </w:tcBorders>
          </w:tcPr>
          <w:p>
            <w:pPr>
              <w:spacing w:after="0"/>
              <w:rPr>
                <w:sz w:val="13"/>
                <w:szCs w:val="13"/>
                <w:color w:val="auto"/>
              </w:rPr>
            </w:pPr>
          </w:p>
        </w:tc>
        <w:tc>
          <w:tcPr>
            <w:tcW w:w="33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360" w:type="dxa"/>
            <w:vAlign w:val="bottom"/>
            <w:tcBorders>
              <w:bottom w:val="single" w:sz="8" w:color="CCEEFF"/>
            </w:tcBorders>
            <w:gridSpan w:val="2"/>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CCEEFF"/>
            </w:tcBorders>
            <w:gridSpan w:val="2"/>
          </w:tcPr>
          <w:p>
            <w:pPr>
              <w:spacing w:after="0"/>
              <w:rPr>
                <w:sz w:val="13"/>
                <w:szCs w:val="13"/>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3460" w:type="dxa"/>
            <w:vAlign w:val="bottom"/>
            <w:gridSpan w:val="2"/>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663,416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1,473,947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44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(187,074)</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(88,250)</w:t>
            </w:r>
          </w:p>
        </w:tc>
        <w:tc>
          <w:tcPr>
            <w:tcW w:w="8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44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(84,547)</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(323,109)</w:t>
            </w:r>
          </w:p>
        </w:tc>
        <w:tc>
          <w:tcPr>
            <w:tcW w:w="8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4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(35,362)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(10,740)</w:t>
            </w:r>
          </w:p>
        </w:tc>
        <w:tc>
          <w:tcPr>
            <w:tcW w:w="8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44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86,977</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(20,300)</w:t>
            </w:r>
          </w:p>
        </w:tc>
        <w:tc>
          <w:tcPr>
            <w:tcW w:w="80" w:type="dxa"/>
            <w:vAlign w:val="bottom"/>
            <w:shd w:val="clear" w:color="auto" w:fill="CCEEFF"/>
          </w:tcPr>
          <w:p>
            <w:pPr>
              <w:spacing w:after="0"/>
              <w:rPr>
                <w:sz w:val="17"/>
                <w:szCs w:val="17"/>
                <w:color w:val="auto"/>
              </w:rPr>
            </w:pPr>
          </w:p>
        </w:tc>
      </w:tr>
      <w:tr>
        <w:trPr>
          <w:trHeight w:val="364"/>
        </w:trPr>
        <w:tc>
          <w:tcPr>
            <w:tcW w:w="5220" w:type="dxa"/>
            <w:vAlign w:val="bottom"/>
          </w:tcPr>
          <w:p>
            <w:pPr>
              <w:spacing w:after="0"/>
              <w:rPr>
                <w:sz w:val="24"/>
                <w:szCs w:val="24"/>
                <w:color w:val="auto"/>
              </w:rPr>
            </w:pPr>
          </w:p>
        </w:tc>
        <w:tc>
          <w:tcPr>
            <w:tcW w:w="4720" w:type="dxa"/>
            <w:vAlign w:val="bottom"/>
            <w:gridSpan w:val="6"/>
          </w:tcPr>
          <w:p>
            <w:pPr>
              <w:ind w:left="100"/>
              <w:spacing w:after="0"/>
              <w:rPr>
                <w:sz w:val="20"/>
                <w:szCs w:val="20"/>
                <w:color w:val="auto"/>
              </w:rPr>
            </w:pPr>
            <w:r>
              <w:rPr>
                <w:rFonts w:ascii="Arial" w:cs="Arial" w:eastAsia="Arial" w:hAnsi="Arial"/>
                <w:sz w:val="18"/>
                <w:szCs w:val="18"/>
                <w:color w:val="auto"/>
              </w:rPr>
              <w:t>F-58</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15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520" w:hanging="4"/>
        <w:spacing w:after="0" w:line="380" w:lineRule="auto"/>
        <w:tabs>
          <w:tab w:leader="none" w:pos="6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2.2 Basis of Consolidation—(Continued)</w:t>
      </w:r>
    </w:p>
    <w:p>
      <w:pPr>
        <w:spacing w:after="0" w:line="1" w:lineRule="exact"/>
        <w:rPr>
          <w:sz w:val="20"/>
          <w:szCs w:val="20"/>
          <w:color w:val="auto"/>
        </w:rPr>
      </w:pPr>
    </w:p>
    <w:p>
      <w:pPr>
        <w:ind w:left="120" w:right="620" w:firstLine="551"/>
        <w:spacing w:after="0" w:line="246" w:lineRule="auto"/>
        <w:rPr>
          <w:sz w:val="20"/>
          <w:szCs w:val="20"/>
          <w:color w:val="auto"/>
        </w:rPr>
      </w:pPr>
      <w:r>
        <w:rPr>
          <w:rFonts w:ascii="Arial" w:cs="Arial" w:eastAsia="Arial" w:hAnsi="Arial"/>
          <w:sz w:val="18"/>
          <w:szCs w:val="18"/>
          <w:color w:val="auto"/>
        </w:rPr>
        <w:t>The VIE and its subsidiaries contributed 95.8% and 97.3% of the Group’s consolidated revenue for the three months ended March 31, 2020 and 2021, respectively.</w:t>
      </w:r>
    </w:p>
    <w:p>
      <w:pPr>
        <w:spacing w:after="0" w:line="197" w:lineRule="exact"/>
        <w:rPr>
          <w:sz w:val="20"/>
          <w:szCs w:val="20"/>
          <w:color w:val="auto"/>
        </w:rPr>
      </w:pPr>
    </w:p>
    <w:p>
      <w:pPr>
        <w:ind w:left="120" w:right="380" w:firstLine="551"/>
        <w:spacing w:after="0"/>
        <w:rPr>
          <w:sz w:val="20"/>
          <w:szCs w:val="20"/>
          <w:color w:val="auto"/>
        </w:rPr>
      </w:pPr>
      <w:r>
        <w:rPr>
          <w:rFonts w:ascii="Arial" w:cs="Arial" w:eastAsia="Arial" w:hAnsi="Arial"/>
          <w:sz w:val="18"/>
          <w:szCs w:val="18"/>
          <w:color w:val="auto"/>
        </w:rPr>
        <w:t>As of March 31, 2021, the VIE and its subsidiaries accounted for an aggregate of 86.0% of the consolidated total assets, and 92.3% of the consolidated total liabilities. The Group’s non-VIE assets as of March 31, 2021 mainly consist of cash, prepayments and other receivables, net and investment in equity investees.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 Use of Estimates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condensed consolidated financial statements include valuation of convertible redeemable preferred shares, assessment for impairment of long-lived assets, including intangible assets, and goodwill, and investments in equity investees, convertible bonds, fair value of share-based compensation, fair value of assets and liabilities acquired in business combination, inventory provision, allowance for doubtful accounts, depreciable lives of Property and equipment, and useful life of intangible assets and realization of deferred tax assets.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 Fair value measurements</w:t>
      </w:r>
    </w:p>
    <w:p>
      <w:pPr>
        <w:spacing w:after="0" w:line="126"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Group’s financial instruments not measured at fair value include cash and cash equivalent, certain short-term investments, other receivables, amount due from related parties, funds receivable from third party payment service providers, equity investments without readily determinable fair values, short-term borrowings, account payables, amount due to related parties, other current liabilities, convertible bonds and long-term borrowings. The carrying amounts of the short-term financial instruments approximate their fair value due to their short-term nature. The carrying amount of the long-term borrowings approximates its fair value as the interest rates are comparable to the prevailing interest rates in the market. The fair value of equity investments without readily determinable fair values and convertible bonds cannot be reasonably estimated without undue costs.</w:t>
      </w:r>
    </w:p>
    <w:p>
      <w:pPr>
        <w:spacing w:after="0" w:line="203" w:lineRule="exact"/>
        <w:rPr>
          <w:sz w:val="20"/>
          <w:szCs w:val="20"/>
          <w:color w:val="auto"/>
        </w:rPr>
      </w:pPr>
    </w:p>
    <w:p>
      <w:pPr>
        <w:ind w:left="120" w:right="220" w:firstLine="551"/>
        <w:spacing w:after="0"/>
        <w:rPr>
          <w:sz w:val="20"/>
          <w:szCs w:val="20"/>
          <w:color w:val="auto"/>
        </w:rPr>
      </w:pPr>
      <w:r>
        <w:rPr>
          <w:rFonts w:ascii="Arial" w:cs="Arial" w:eastAsia="Arial" w:hAnsi="Arial"/>
          <w:sz w:val="18"/>
          <w:szCs w:val="18"/>
          <w:color w:val="auto"/>
        </w:rPr>
        <w:t>As of December 31, 2020 and March 31, 2021, the Group’s certain short-term investments are measured at fair value on a recurring basis subsequent to their initial recognition, using significant observable inputs classified as Level 2 in the fair value hierarchy. The difference between fair value and cost of such short-term investment is immaterial.</w:t>
      </w:r>
    </w:p>
    <w:p>
      <w:pPr>
        <w:spacing w:after="0" w:line="203" w:lineRule="exact"/>
        <w:rPr>
          <w:sz w:val="20"/>
          <w:szCs w:val="20"/>
          <w:color w:val="auto"/>
        </w:rPr>
      </w:pPr>
    </w:p>
    <w:p>
      <w:pPr>
        <w:ind w:left="120" w:right="160" w:firstLine="551"/>
        <w:spacing w:after="0" w:line="246" w:lineRule="auto"/>
        <w:rPr>
          <w:sz w:val="20"/>
          <w:szCs w:val="20"/>
          <w:color w:val="auto"/>
        </w:rPr>
      </w:pPr>
      <w:r>
        <w:rPr>
          <w:rFonts w:ascii="Arial" w:cs="Arial" w:eastAsia="Arial" w:hAnsi="Arial"/>
          <w:sz w:val="18"/>
          <w:szCs w:val="18"/>
          <w:color w:val="auto"/>
        </w:rPr>
        <w:t>During the three months ended March 31, 2020 and 2021, the Group did not have assets or liabilities measured at fair value on a non-recurring basis.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80"/>
          </w:cols>
          <w:pgMar w:left="320" w:top="459" w:right="49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13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560" w:hanging="4"/>
        <w:spacing w:after="0" w:line="403" w:lineRule="auto"/>
        <w:tabs>
          <w:tab w:leader="none" w:pos="66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policies—(Continued) </w:t>
      </w:r>
      <w:r>
        <w:rPr>
          <w:rFonts w:ascii="Arial" w:cs="Arial" w:eastAsia="Arial" w:hAnsi="Arial"/>
          <w:sz w:val="17"/>
          <w:szCs w:val="17"/>
          <w:b w:val="1"/>
          <w:bCs w:val="1"/>
          <w:i w:val="1"/>
          <w:iCs w:val="1"/>
          <w:color w:val="auto"/>
        </w:rPr>
        <w:t>2.5 Functional currency and foreign currency translation</w:t>
      </w:r>
    </w:p>
    <w:p>
      <w:pPr>
        <w:ind w:left="120" w:right="40" w:firstLine="551"/>
        <w:spacing w:after="0"/>
        <w:rPr>
          <w:sz w:val="20"/>
          <w:szCs w:val="20"/>
          <w:color w:val="auto"/>
        </w:rPr>
      </w:pPr>
      <w:r>
        <w:rPr>
          <w:rFonts w:ascii="Arial" w:cs="Arial" w:eastAsia="Arial" w:hAnsi="Arial"/>
          <w:sz w:val="18"/>
          <w:szCs w:val="18"/>
          <w:color w:val="auto"/>
        </w:rPr>
        <w:t>The functional currency of the Company and its subsidiaries and VIE in the PRC is in Renminbi (“RMB”). The functional currency of the Group’s entities incorporated in Hong Kong (“HK”) is in Hong Kong dollars (“HKD”). The functional currency of the Group’s entities incorporated in the United States is in US dollars (“US$”).</w:t>
      </w:r>
    </w:p>
    <w:p>
      <w:pPr>
        <w:spacing w:after="0" w:line="203" w:lineRule="exact"/>
        <w:rPr>
          <w:sz w:val="20"/>
          <w:szCs w:val="20"/>
          <w:color w:val="auto"/>
        </w:rPr>
      </w:pPr>
    </w:p>
    <w:p>
      <w:pPr>
        <w:ind w:left="120" w:right="220" w:firstLine="551"/>
        <w:spacing w:after="0" w:line="238" w:lineRule="auto"/>
        <w:rPr>
          <w:sz w:val="20"/>
          <w:szCs w:val="20"/>
          <w:color w:val="auto"/>
        </w:rPr>
      </w:pPr>
      <w:r>
        <w:rPr>
          <w:rFonts w:ascii="Arial" w:cs="Arial" w:eastAsia="Arial" w:hAnsi="Arial"/>
          <w:sz w:val="18"/>
          <w:szCs w:val="18"/>
          <w:color w:val="auto"/>
        </w:rPr>
        <w:t>Monetary assets and liabilities denominated in currencies other than the functional currency are remeasured into the functional currency at the rates of exchange ruling at the balance sheet date. Transactions in currencies other than the functional currency are measured and recorded in the functional currency at the exchange rate prevailing on the transaction date. Transaction gains and losses are recognized in the condensed consolidated statements of operations and comprehensive loss.</w:t>
      </w:r>
    </w:p>
    <w:p>
      <w:pPr>
        <w:spacing w:after="0" w:line="205"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The Group’s reporting currency is RMB. For entities within the Group that have a functional currency other than the reporting currency, assets and liabilities are translated from each entity’s functional currency to the reporting currency at the exchange rates in effect on the balance sheet date. Equity amounts are translated at historical exchange rates. Revenues, expenses, gains and losses are translated using the average rates for the year. Translation adjustments are reported as cumulative translation adjustments and are shown as a component of other comprehensive income in the statements of comprehensive loss and the condensed consolidated statements of change in shareholders’ deficit.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 Revenue recognition</w:t>
      </w:r>
    </w:p>
    <w:p>
      <w:pPr>
        <w:spacing w:after="0" w:line="126" w:lineRule="exact"/>
        <w:rPr>
          <w:sz w:val="20"/>
          <w:szCs w:val="20"/>
          <w:color w:val="auto"/>
        </w:rPr>
      </w:pPr>
    </w:p>
    <w:p>
      <w:pPr>
        <w:ind w:left="120" w:right="780" w:firstLine="551"/>
        <w:spacing w:after="0" w:line="246" w:lineRule="auto"/>
        <w:rPr>
          <w:sz w:val="20"/>
          <w:szCs w:val="20"/>
          <w:color w:val="auto"/>
        </w:rPr>
      </w:pPr>
      <w:r>
        <w:rPr>
          <w:rFonts w:ascii="Arial" w:cs="Arial" w:eastAsia="Arial" w:hAnsi="Arial"/>
          <w:sz w:val="18"/>
          <w:szCs w:val="18"/>
          <w:color w:val="auto"/>
        </w:rPr>
        <w:t>Revenues are generated primarily from product revenue and service revenue through the platforms the Group offers to its customers. The Group also generates revenues from product sales through offline stores it operates.</w:t>
      </w:r>
    </w:p>
    <w:p>
      <w:pPr>
        <w:spacing w:after="0" w:line="197"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color w:val="auto"/>
        </w:rPr>
        <w:t>The Group adopted ASC 606 “Revenue from Contract with Customers” (“ASC606”) for all periods presented. According to ASC 606, revenue is recognized when control of the promised good or service is transferred to the customer in an amount that reflects the consideration the Group expects to receive in exchange for those goods or services, after considering estimated sales return allowances, price concessions, discount and value added tax (“VAT”).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580" w:hanging="4"/>
        <w:spacing w:after="0" w:line="380" w:lineRule="auto"/>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2.6 Revenue recognition—(Continued)</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Disaggregation of revenues</w:t>
      </w:r>
    </w:p>
    <w:p>
      <w:pPr>
        <w:spacing w:after="0" w:line="10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2020 and 2021, the disaggregated revenues by revenue streams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5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6"/>
        </w:trPr>
        <w:tc>
          <w:tcPr>
            <w:tcW w:w="540" w:type="dxa"/>
            <w:vAlign w:val="bottom"/>
            <w:tcBorders>
              <w:bottom w:val="single" w:sz="8" w:color="CCEEFF"/>
            </w:tcBorders>
          </w:tcPr>
          <w:p>
            <w:pPr>
              <w:spacing w:after="0"/>
              <w:rPr>
                <w:sz w:val="13"/>
                <w:szCs w:val="13"/>
                <w:color w:val="auto"/>
              </w:rPr>
            </w:pPr>
          </w:p>
        </w:tc>
        <w:tc>
          <w:tcPr>
            <w:tcW w:w="1880" w:type="dxa"/>
            <w:vAlign w:val="bottom"/>
            <w:tcBorders>
              <w:bottom w:val="single" w:sz="8" w:color="CCEEFF"/>
            </w:tcBorders>
          </w:tcPr>
          <w:p>
            <w:pPr>
              <w:spacing w:after="0"/>
              <w:rPr>
                <w:sz w:val="13"/>
                <w:szCs w:val="13"/>
                <w:color w:val="auto"/>
              </w:rPr>
            </w:pPr>
          </w:p>
        </w:tc>
        <w:tc>
          <w:tcPr>
            <w:tcW w:w="64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CCEEFF"/>
            </w:tcBorders>
          </w:tcPr>
          <w:p>
            <w:pPr>
              <w:spacing w:after="0"/>
              <w:rPr>
                <w:sz w:val="13"/>
                <w:szCs w:val="13"/>
                <w:color w:val="auto"/>
              </w:rPr>
            </w:pPr>
          </w:p>
        </w:tc>
      </w:tr>
      <w:tr>
        <w:trPr>
          <w:trHeight w:val="196"/>
        </w:trPr>
        <w:tc>
          <w:tcPr>
            <w:tcW w:w="89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Net online product revenue</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582,272</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1,240,824</w:t>
            </w:r>
          </w:p>
        </w:tc>
        <w:tc>
          <w:tcPr>
            <w:tcW w:w="80" w:type="dxa"/>
            <w:vAlign w:val="bottom"/>
            <w:shd w:val="clear" w:color="auto" w:fill="CCEEFF"/>
          </w:tcPr>
          <w:p>
            <w:pPr>
              <w:spacing w:after="0"/>
              <w:rPr>
                <w:sz w:val="17"/>
                <w:szCs w:val="17"/>
                <w:color w:val="auto"/>
              </w:rPr>
            </w:pPr>
          </w:p>
        </w:tc>
      </w:tr>
      <w:tr>
        <w:trPr>
          <w:trHeight w:val="203"/>
        </w:trPr>
        <w:tc>
          <w:tcPr>
            <w:tcW w:w="8900" w:type="dxa"/>
            <w:vAlign w:val="bottom"/>
            <w:gridSpan w:val="3"/>
          </w:tcPr>
          <w:p>
            <w:pPr>
              <w:spacing w:after="0" w:line="202" w:lineRule="exact"/>
              <w:rPr>
                <w:sz w:val="20"/>
                <w:szCs w:val="20"/>
                <w:color w:val="auto"/>
              </w:rPr>
            </w:pPr>
            <w:r>
              <w:rPr>
                <w:rFonts w:ascii="Arial" w:cs="Arial" w:eastAsia="Arial" w:hAnsi="Arial"/>
                <w:sz w:val="18"/>
                <w:szCs w:val="18"/>
                <w:color w:val="auto"/>
              </w:rPr>
              <w:t>Net product revenue from offline channel</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23,831</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69,723</w:t>
            </w:r>
          </w:p>
        </w:tc>
      </w:tr>
      <w:tr>
        <w:trPr>
          <w:trHeight w:val="27"/>
        </w:trPr>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product revenue</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606,103</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1,310,547</w:t>
            </w:r>
          </w:p>
        </w:tc>
      </w:tr>
      <w:tr>
        <w:trPr>
          <w:trHeight w:val="20"/>
        </w:trPr>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900" w:type="dxa"/>
            <w:vAlign w:val="bottom"/>
            <w:gridSpan w:val="3"/>
          </w:tcPr>
          <w:p>
            <w:pPr>
              <w:spacing w:after="0"/>
              <w:rPr>
                <w:sz w:val="20"/>
                <w:szCs w:val="20"/>
                <w:color w:val="auto"/>
              </w:rPr>
            </w:pPr>
            <w:r>
              <w:rPr>
                <w:rFonts w:ascii="Arial" w:cs="Arial" w:eastAsia="Arial" w:hAnsi="Arial"/>
                <w:sz w:val="18"/>
                <w:szCs w:val="18"/>
                <w:color w:val="auto"/>
              </w:rPr>
              <w:t>Net service revenue for PJT marketplace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39,959</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104,364</w:t>
            </w: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service revenue for Paipai marketplace</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45,546</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95,242</w:t>
            </w:r>
          </w:p>
        </w:tc>
      </w:tr>
      <w:tr>
        <w:trPr>
          <w:trHeight w:val="203"/>
        </w:trPr>
        <w:tc>
          <w:tcPr>
            <w:tcW w:w="8900" w:type="dxa"/>
            <w:vAlign w:val="bottom"/>
            <w:gridSpan w:val="3"/>
          </w:tcPr>
          <w:p>
            <w:pPr>
              <w:spacing w:after="0" w:line="202" w:lineRule="exact"/>
              <w:rPr>
                <w:sz w:val="20"/>
                <w:szCs w:val="20"/>
                <w:color w:val="auto"/>
              </w:rPr>
            </w:pPr>
            <w:r>
              <w:rPr>
                <w:rFonts w:ascii="Arial" w:cs="Arial" w:eastAsia="Arial" w:hAnsi="Arial"/>
                <w:sz w:val="18"/>
                <w:szCs w:val="18"/>
                <w:color w:val="auto"/>
              </w:rPr>
              <w:t>Net service revenue from other channel</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604</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4,278</w:t>
            </w:r>
          </w:p>
        </w:tc>
      </w:tr>
      <w:tr>
        <w:trPr>
          <w:trHeight w:val="27"/>
        </w:trPr>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service revenue</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86,109</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203,884</w:t>
            </w:r>
          </w:p>
        </w:tc>
      </w:tr>
      <w:tr>
        <w:trPr>
          <w:trHeight w:val="507"/>
        </w:trPr>
        <w:tc>
          <w:tcPr>
            <w:tcW w:w="540" w:type="dxa"/>
            <w:vAlign w:val="bottom"/>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Geographic information</w:t>
            </w:r>
          </w:p>
        </w:tc>
        <w:tc>
          <w:tcPr>
            <w:tcW w:w="64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540" w:type="dxa"/>
            <w:vAlign w:val="bottom"/>
          </w:tcPr>
          <w:p>
            <w:pPr>
              <w:spacing w:after="0"/>
              <w:rPr>
                <w:sz w:val="24"/>
                <w:szCs w:val="24"/>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The following is the Group’s net product and service revenues by geographical location:</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5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2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5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5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840" w:type="dxa"/>
            <w:vAlign w:val="bottom"/>
          </w:tcPr>
          <w:p>
            <w:pPr>
              <w:jc w:val="right"/>
              <w:ind w:right="177"/>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c>
          <w:tcPr>
            <w:tcW w:w="1040" w:type="dxa"/>
            <w:vAlign w:val="bottom"/>
          </w:tcPr>
          <w:p>
            <w:pPr>
              <w:jc w:val="right"/>
              <w:ind w:right="274"/>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Mainland China</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582,272</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1,270,502</w:t>
            </w:r>
          </w:p>
        </w:tc>
      </w:tr>
      <w:tr>
        <w:trPr>
          <w:trHeight w:val="203"/>
        </w:trPr>
        <w:tc>
          <w:tcPr>
            <w:tcW w:w="8900" w:type="dxa"/>
            <w:vAlign w:val="bottom"/>
            <w:gridSpan w:val="3"/>
          </w:tcPr>
          <w:p>
            <w:pPr>
              <w:spacing w:after="0" w:line="202" w:lineRule="exact"/>
              <w:rPr>
                <w:sz w:val="20"/>
                <w:szCs w:val="20"/>
                <w:color w:val="auto"/>
              </w:rPr>
            </w:pPr>
            <w:r>
              <w:rPr>
                <w:rFonts w:ascii="Arial" w:cs="Arial" w:eastAsia="Arial" w:hAnsi="Arial"/>
                <w:sz w:val="18"/>
                <w:szCs w:val="18"/>
                <w:color w:val="auto"/>
              </w:rPr>
              <w:t>Hong Kong</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20,310</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35,566</w:t>
            </w: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Others</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3,521</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4,479</w:t>
            </w:r>
          </w:p>
        </w:tc>
      </w:tr>
      <w:tr>
        <w:trPr>
          <w:trHeight w:val="216"/>
        </w:trPr>
        <w:tc>
          <w:tcPr>
            <w:tcW w:w="8900" w:type="dxa"/>
            <w:vAlign w:val="bottom"/>
            <w:gridSpan w:val="3"/>
          </w:tcPr>
          <w:p>
            <w:pPr>
              <w:spacing w:after="0"/>
              <w:rPr>
                <w:sz w:val="20"/>
                <w:szCs w:val="20"/>
                <w:color w:val="auto"/>
              </w:rPr>
            </w:pPr>
            <w:r>
              <w:rPr>
                <w:rFonts w:ascii="Arial" w:cs="Arial" w:eastAsia="Arial" w:hAnsi="Arial"/>
                <w:sz w:val="18"/>
                <w:szCs w:val="18"/>
                <w:b w:val="1"/>
                <w:bCs w:val="1"/>
                <w:color w:val="auto"/>
              </w:rPr>
              <w:t>Net product revenue</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606,103</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1,310,547</w:t>
            </w:r>
          </w:p>
        </w:tc>
        <w:tc>
          <w:tcPr>
            <w:tcW w:w="80" w:type="dxa"/>
            <w:vAlign w:val="bottom"/>
          </w:tcPr>
          <w:p>
            <w:pPr>
              <w:spacing w:after="0"/>
              <w:rPr>
                <w:sz w:val="18"/>
                <w:szCs w:val="18"/>
                <w:color w:val="auto"/>
              </w:rPr>
            </w:pP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Mainland China</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85,992</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203,629</w:t>
            </w:r>
          </w:p>
        </w:tc>
      </w:tr>
      <w:tr>
        <w:trPr>
          <w:trHeight w:val="203"/>
        </w:trPr>
        <w:tc>
          <w:tcPr>
            <w:tcW w:w="8900" w:type="dxa"/>
            <w:vAlign w:val="bottom"/>
            <w:gridSpan w:val="3"/>
          </w:tcPr>
          <w:p>
            <w:pPr>
              <w:spacing w:after="0" w:line="202" w:lineRule="exact"/>
              <w:rPr>
                <w:sz w:val="20"/>
                <w:szCs w:val="20"/>
                <w:color w:val="auto"/>
              </w:rPr>
            </w:pPr>
            <w:r>
              <w:rPr>
                <w:rFonts w:ascii="Arial" w:cs="Arial" w:eastAsia="Arial" w:hAnsi="Arial"/>
                <w:sz w:val="18"/>
                <w:szCs w:val="18"/>
                <w:color w:val="auto"/>
              </w:rPr>
              <w:t>Hong Kong</w:t>
            </w: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117</w:t>
            </w: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255</w:t>
            </w:r>
          </w:p>
        </w:tc>
      </w:tr>
      <w:tr>
        <w:trPr>
          <w:trHeight w:val="27"/>
        </w:trPr>
        <w:tc>
          <w:tcPr>
            <w:tcW w:w="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service revenue</w:t>
            </w: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86,109</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203,884</w:t>
            </w:r>
          </w:p>
        </w:tc>
      </w:tr>
      <w:tr>
        <w:trPr>
          <w:trHeight w:val="20"/>
        </w:trPr>
        <w:tc>
          <w:tcPr>
            <w:tcW w:w="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balances</w:t>
      </w:r>
    </w:p>
    <w:p>
      <w:pPr>
        <w:spacing w:after="0" w:line="104" w:lineRule="exact"/>
        <w:rPr>
          <w:sz w:val="20"/>
          <w:szCs w:val="20"/>
          <w:color w:val="auto"/>
        </w:rPr>
      </w:pPr>
    </w:p>
    <w:p>
      <w:pPr>
        <w:ind w:left="120" w:right="140" w:firstLine="551"/>
        <w:spacing w:after="0" w:line="238" w:lineRule="auto"/>
        <w:rPr>
          <w:sz w:val="20"/>
          <w:szCs w:val="20"/>
          <w:color w:val="auto"/>
        </w:rPr>
      </w:pPr>
      <w:r>
        <w:rPr>
          <w:rFonts w:ascii="Arial" w:cs="Arial" w:eastAsia="Arial" w:hAnsi="Arial"/>
          <w:sz w:val="18"/>
          <w:szCs w:val="18"/>
          <w:color w:val="auto"/>
        </w:rPr>
        <w:t>The Group receives advance payments from customers pursuant to the agreements with certain customers before the services or products are provided, which is recorded as contract liabilities included in accrued expenses and other current liabilities in the condensed consolidated balance sheets. As of December 31, 2020, the Group’s total contract liabilities were RMB33,884, of which RMB28,045 was recognized as revenues in current period. All contract liabilities as of March 31, 2021 are expected to be realized in the following twelve months.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costs of obtaining a contract as of December 31, 2020 and March 31, 2021.</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580" w:hanging="4"/>
        <w:spacing w:after="0" w:line="380" w:lineRule="auto"/>
        <w:tabs>
          <w:tab w:leader="none" w:pos="66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policies—(Continued) </w:t>
      </w:r>
      <w:r>
        <w:rPr>
          <w:rFonts w:ascii="Arial" w:cs="Arial" w:eastAsia="Arial" w:hAnsi="Arial"/>
          <w:sz w:val="18"/>
          <w:szCs w:val="18"/>
          <w:b w:val="1"/>
          <w:bCs w:val="1"/>
          <w:i w:val="1"/>
          <w:iCs w:val="1"/>
          <w:color w:val="auto"/>
        </w:rPr>
        <w:t>2.7 Segment reporting</w:t>
      </w:r>
    </w:p>
    <w:p>
      <w:pPr>
        <w:spacing w:after="0" w:line="1"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Based on the criteria established by ASC 280 “Segment Reporting”, the Group’s chief operating decision maker has been identified as the Chairman of the Board of Directors and Chief-Executive Officer, who reviews consolidated results of the Group when making decisions about allocating resources and assessing performance. The Group has internal reporting of revenue, cost and expenses by nature as a whole. Hence, the Group has only one operating segment. The Company is domiciled in the Cayman Islands while the Group mainly operates its businesses in the PRC.</w:t>
      </w:r>
    </w:p>
    <w:p>
      <w:pPr>
        <w:spacing w:after="0" w:line="329" w:lineRule="exact"/>
        <w:rPr>
          <w:sz w:val="20"/>
          <w:szCs w:val="20"/>
          <w:color w:val="auto"/>
        </w:rPr>
      </w:pPr>
    </w:p>
    <w:p>
      <w:pPr>
        <w:ind w:left="660" w:hanging="544"/>
        <w:spacing w:after="0"/>
        <w:tabs>
          <w:tab w:leader="none" w:pos="6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other receivables, net</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Prepayments and other receivables, net consist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20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As of</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As of</w:t>
            </w:r>
          </w:p>
        </w:tc>
      </w:tr>
      <w:tr>
        <w:trPr>
          <w:trHeight w:val="175"/>
        </w:trPr>
        <w:tc>
          <w:tcPr>
            <w:tcW w:w="7860" w:type="dxa"/>
            <w:vAlign w:val="bottom"/>
          </w:tcPr>
          <w:p>
            <w:pPr>
              <w:spacing w:after="0"/>
              <w:rPr>
                <w:sz w:val="15"/>
                <w:szCs w:val="15"/>
                <w:color w:val="auto"/>
              </w:rPr>
            </w:pP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December 31, 2020</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March 31, 2021</w:t>
            </w:r>
          </w:p>
        </w:tc>
      </w:tr>
      <w:tr>
        <w:trPr>
          <w:trHeight w:val="155"/>
        </w:trPr>
        <w:tc>
          <w:tcPr>
            <w:tcW w:w="786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78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3"/>
                <w:szCs w:val="13"/>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Deposits</w:t>
            </w:r>
          </w:p>
        </w:tc>
        <w:tc>
          <w:tcPr>
            <w:tcW w:w="20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17,557</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14,782</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Deposits to merchants (1)</w:t>
            </w:r>
          </w:p>
        </w:tc>
        <w:tc>
          <w:tcPr>
            <w:tcW w:w="20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121,419</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302,564</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 receivables</w:t>
            </w:r>
          </w:p>
        </w:tc>
        <w:tc>
          <w:tcPr>
            <w:tcW w:w="20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12,336</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8,730</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Advance to suppliers</w:t>
            </w:r>
          </w:p>
        </w:tc>
        <w:tc>
          <w:tcPr>
            <w:tcW w:w="20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33,058</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74,731</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VAT recoverables</w:t>
            </w:r>
          </w:p>
        </w:tc>
        <w:tc>
          <w:tcPr>
            <w:tcW w:w="20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50,239</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75,184</w:t>
            </w: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Others</w:t>
            </w:r>
          </w:p>
        </w:tc>
        <w:tc>
          <w:tcPr>
            <w:tcW w:w="20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27,661</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43,595</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advanced to staff</w:t>
            </w:r>
          </w:p>
        </w:tc>
        <w:tc>
          <w:tcPr>
            <w:tcW w:w="20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6,014</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3,387</w:t>
            </w:r>
          </w:p>
        </w:tc>
      </w:tr>
      <w:tr>
        <w:trPr>
          <w:trHeight w:val="210"/>
        </w:trPr>
        <w:tc>
          <w:tcPr>
            <w:tcW w:w="7860" w:type="dxa"/>
            <w:vAlign w:val="bottom"/>
          </w:tcPr>
          <w:p>
            <w:pPr>
              <w:spacing w:after="0" w:line="202" w:lineRule="exact"/>
              <w:rPr>
                <w:sz w:val="20"/>
                <w:szCs w:val="20"/>
                <w:color w:val="auto"/>
              </w:rPr>
            </w:pPr>
            <w:r>
              <w:rPr>
                <w:rFonts w:ascii="Arial" w:cs="Arial" w:eastAsia="Arial" w:hAnsi="Arial"/>
                <w:sz w:val="18"/>
                <w:szCs w:val="18"/>
                <w:color w:val="auto"/>
              </w:rPr>
              <w:t>Less: allowance</w:t>
            </w:r>
          </w:p>
        </w:tc>
        <w:tc>
          <w:tcPr>
            <w:tcW w:w="1300" w:type="dxa"/>
            <w:vAlign w:val="bottom"/>
            <w:tcBorders>
              <w:bottom w:val="single" w:sz="8" w:color="auto"/>
            </w:tcBorders>
          </w:tcPr>
          <w:p>
            <w:pPr>
              <w:ind w:left="102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268,284</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522,973</w:t>
            </w:r>
          </w:p>
        </w:tc>
      </w:tr>
      <w:tr>
        <w:trPr>
          <w:trHeight w:val="20"/>
        </w:trPr>
        <w:tc>
          <w:tcPr>
            <w:tcW w:w="78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hanging="544"/>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amount relates to the refundable deposits paid to merchants to whom the Group provides platform service.</w:t>
      </w: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r>
              <w:rPr>
                <w:rFonts w:ascii="Arial" w:cs="Arial" w:eastAsia="Arial" w:hAnsi="Arial"/>
                <w:sz w:val="18"/>
                <w:szCs w:val="18"/>
                <w:b w:val="1"/>
                <w:bCs w:val="1"/>
                <w:color w:val="auto"/>
              </w:rPr>
              <w:t>4.</w:t>
            </w:r>
          </w:p>
        </w:tc>
        <w:tc>
          <w:tcPr>
            <w:tcW w:w="3760" w:type="dxa"/>
            <w:vAlign w:val="bottom"/>
          </w:tcPr>
          <w:p>
            <w:pPr>
              <w:ind w:left="80"/>
              <w:spacing w:after="0"/>
              <w:rPr>
                <w:sz w:val="20"/>
                <w:szCs w:val="20"/>
                <w:color w:val="auto"/>
              </w:rPr>
            </w:pPr>
            <w:r>
              <w:rPr>
                <w:rFonts w:ascii="Arial" w:cs="Arial" w:eastAsia="Arial" w:hAnsi="Arial"/>
                <w:sz w:val="18"/>
                <w:szCs w:val="18"/>
                <w:b w:val="1"/>
                <w:bCs w:val="1"/>
                <w:color w:val="auto"/>
              </w:rPr>
              <w:t>Short-term borrowings</w:t>
            </w: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8"/>
        </w:trPr>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As of</w:t>
            </w:r>
          </w:p>
        </w:tc>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As of</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r>
      <w:tr>
        <w:trPr>
          <w:trHeight w:val="175"/>
        </w:trPr>
        <w:tc>
          <w:tcPr>
            <w:tcW w:w="4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December 31, 2020</w:t>
            </w:r>
          </w:p>
        </w:tc>
        <w:tc>
          <w:tcPr>
            <w:tcW w:w="17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March 31, 2021</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 rate</w:t>
            </w:r>
          </w:p>
        </w:tc>
      </w:tr>
      <w:tr>
        <w:trPr>
          <w:trHeight w:val="155"/>
        </w:trPr>
        <w:tc>
          <w:tcPr>
            <w:tcW w:w="4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3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70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7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203"/>
        </w:trPr>
        <w:tc>
          <w:tcPr>
            <w:tcW w:w="4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Short-term bank borrowings</w:t>
            </w:r>
          </w:p>
        </w:tc>
        <w:tc>
          <w:tcPr>
            <w:tcW w:w="4000" w:type="dxa"/>
            <w:vAlign w:val="bottom"/>
            <w:gridSpan w:val="3"/>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339,751</w:t>
            </w:r>
          </w:p>
        </w:tc>
        <w:tc>
          <w:tcPr>
            <w:tcW w:w="17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319,455</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4.46%</w:t>
            </w: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Current portion of long-term borrowings</w:t>
            </w:r>
          </w:p>
        </w:tc>
        <w:tc>
          <w:tcPr>
            <w:tcW w:w="200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29,906</w:t>
            </w:r>
          </w:p>
        </w:tc>
        <w:tc>
          <w:tcPr>
            <w:tcW w:w="700" w:type="dxa"/>
            <w:vAlign w:val="bottom"/>
          </w:tcPr>
          <w:p>
            <w:pPr>
              <w:spacing w:after="0"/>
              <w:rPr>
                <w:sz w:val="17"/>
                <w:szCs w:val="17"/>
                <w:color w:val="auto"/>
              </w:rPr>
            </w:pPr>
          </w:p>
        </w:tc>
        <w:tc>
          <w:tcPr>
            <w:tcW w:w="174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32,624</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r>
      <w:tr>
        <w:trPr>
          <w:trHeight w:val="27"/>
        </w:trPr>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7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369,657</w:t>
            </w:r>
          </w:p>
        </w:tc>
        <w:tc>
          <w:tcPr>
            <w:tcW w:w="7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352,079</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0" w:type="dxa"/>
            <w:vAlign w:val="bottom"/>
            <w:gridSpan w:val="3"/>
          </w:tcPr>
          <w:p>
            <w:pPr>
              <w:ind w:left="1100"/>
              <w:spacing w:after="0"/>
              <w:rPr>
                <w:sz w:val="20"/>
                <w:szCs w:val="20"/>
                <w:color w:val="auto"/>
              </w:rPr>
            </w:pPr>
            <w:r>
              <w:rPr>
                <w:rFonts w:ascii="Arial" w:cs="Arial" w:eastAsia="Arial" w:hAnsi="Arial"/>
                <w:sz w:val="18"/>
                <w:szCs w:val="18"/>
                <w:color w:val="auto"/>
              </w:rPr>
              <w:t>F-62</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26" w:lineRule="exact"/>
        <w:rPr>
          <w:sz w:val="20"/>
          <w:szCs w:val="20"/>
          <w:color w:val="auto"/>
        </w:rPr>
      </w:pPr>
    </w:p>
    <w:p>
      <w:pPr>
        <w:ind w:left="120" w:right="380" w:firstLine="551"/>
        <w:spacing w:after="0" w:line="246" w:lineRule="auto"/>
        <w:rPr>
          <w:sz w:val="20"/>
          <w:szCs w:val="20"/>
          <w:color w:val="auto"/>
        </w:rPr>
      </w:pPr>
      <w:r>
        <w:rPr>
          <w:rFonts w:ascii="Arial" w:cs="Arial" w:eastAsia="Arial" w:hAnsi="Arial"/>
          <w:sz w:val="18"/>
          <w:szCs w:val="18"/>
          <w:color w:val="auto"/>
        </w:rPr>
        <w:t>The current and deferred portion of income tax expenses included in the condensed consolidated statements of operations and comprehensive loss are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140" w:type="dxa"/>
            <w:vAlign w:val="bottom"/>
          </w:tcPr>
          <w:p>
            <w:pPr>
              <w:spacing w:after="0"/>
              <w:rPr>
                <w:sz w:val="14"/>
                <w:szCs w:val="14"/>
                <w:color w:val="auto"/>
              </w:rPr>
            </w:pPr>
          </w:p>
        </w:tc>
        <w:tc>
          <w:tcPr>
            <w:tcW w:w="1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Three months</w:t>
            </w:r>
          </w:p>
        </w:tc>
      </w:tr>
      <w:tr>
        <w:trPr>
          <w:trHeight w:val="175"/>
        </w:trPr>
        <w:tc>
          <w:tcPr>
            <w:tcW w:w="9140" w:type="dxa"/>
            <w:vAlign w:val="bottom"/>
          </w:tcPr>
          <w:p>
            <w:pPr>
              <w:spacing w:after="0"/>
              <w:rPr>
                <w:sz w:val="15"/>
                <w:szCs w:val="15"/>
                <w:color w:val="auto"/>
              </w:rPr>
            </w:pPr>
          </w:p>
        </w:tc>
        <w:tc>
          <w:tcPr>
            <w:tcW w:w="18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ended March 31,</w:t>
            </w:r>
          </w:p>
        </w:tc>
      </w:tr>
      <w:tr>
        <w:trPr>
          <w:trHeight w:val="156"/>
        </w:trPr>
        <w:tc>
          <w:tcPr>
            <w:tcW w:w="9140" w:type="dxa"/>
            <w:vAlign w:val="bottom"/>
          </w:tcPr>
          <w:p>
            <w:pPr>
              <w:spacing w:after="0"/>
              <w:rPr>
                <w:sz w:val="13"/>
                <w:szCs w:val="13"/>
                <w:color w:val="auto"/>
              </w:rPr>
            </w:pPr>
          </w:p>
        </w:tc>
        <w:tc>
          <w:tcPr>
            <w:tcW w:w="74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r>
      <w:tr>
        <w:trPr>
          <w:trHeight w:val="155"/>
        </w:trPr>
        <w:tc>
          <w:tcPr>
            <w:tcW w:w="9140" w:type="dxa"/>
            <w:vAlign w:val="bottom"/>
          </w:tcPr>
          <w:p>
            <w:pPr>
              <w:spacing w:after="0"/>
              <w:rPr>
                <w:sz w:val="13"/>
                <w:szCs w:val="13"/>
                <w:color w:val="auto"/>
              </w:rPr>
            </w:pPr>
          </w:p>
        </w:tc>
        <w:tc>
          <w:tcPr>
            <w:tcW w:w="7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7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tax expenses</w:t>
            </w:r>
          </w:p>
        </w:tc>
        <w:tc>
          <w:tcPr>
            <w:tcW w:w="98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r>
      <w:tr>
        <w:trPr>
          <w:trHeight w:val="203"/>
        </w:trPr>
        <w:tc>
          <w:tcPr>
            <w:tcW w:w="9140" w:type="dxa"/>
            <w:vAlign w:val="bottom"/>
          </w:tcPr>
          <w:p>
            <w:pPr>
              <w:spacing w:after="0" w:line="202" w:lineRule="exact"/>
              <w:rPr>
                <w:sz w:val="20"/>
                <w:szCs w:val="20"/>
                <w:color w:val="auto"/>
              </w:rPr>
            </w:pPr>
            <w:r>
              <w:rPr>
                <w:rFonts w:ascii="Arial" w:cs="Arial" w:eastAsia="Arial" w:hAnsi="Arial"/>
                <w:sz w:val="18"/>
                <w:szCs w:val="18"/>
                <w:color w:val="auto"/>
              </w:rPr>
              <w:t>Deferred tax benefits</w:t>
            </w:r>
          </w:p>
        </w:tc>
        <w:tc>
          <w:tcPr>
            <w:tcW w:w="9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(12,028)</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(19,459)</w:t>
            </w:r>
          </w:p>
        </w:tc>
      </w:tr>
      <w:tr>
        <w:trPr>
          <w:trHeight w:val="27"/>
        </w:trPr>
        <w:tc>
          <w:tcPr>
            <w:tcW w:w="9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03"/>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income tax benefit</w:t>
            </w:r>
          </w:p>
        </w:tc>
        <w:tc>
          <w:tcPr>
            <w:tcW w:w="9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(12,028)</w:t>
            </w: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(19,459)</w:t>
            </w:r>
          </w:p>
        </w:tc>
      </w:tr>
      <w:tr>
        <w:trPr>
          <w:trHeight w:val="20"/>
        </w:trPr>
        <w:tc>
          <w:tcPr>
            <w:tcW w:w="9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effective tax rate (“ETR”) is based on expected income and statutory tax rates. For interim financial reporting, the Group estimates the annual tax rate based on projected taxable income for the full year and records a quarterly income tax provision in accordance with the guidance on accounting for income taxes in an interim period. As the year progresses, the Group refines the estimates of the year’s taxable income as new information becomes available. This continual estimation process often results in a change to the expected effective tax rate for the year. When this occurs, the Group adjusts the income tax provision during the quarter in which the change in estimate occurs so that the year-to-date provision reflects the expected annual tax rate.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Group’s estimated ETR for the three months ended March 31, 2020 and 2021 was 6.20% and 17.12%, respectively.</w:t>
      </w:r>
    </w:p>
    <w:p>
      <w:pPr>
        <w:spacing w:after="0" w:line="212" w:lineRule="exact"/>
        <w:rPr>
          <w:sz w:val="20"/>
          <w:szCs w:val="20"/>
          <w:color w:val="auto"/>
        </w:rPr>
      </w:pPr>
    </w:p>
    <w:p>
      <w:pPr>
        <w:ind w:left="120" w:right="120" w:firstLine="551"/>
        <w:spacing w:after="0" w:line="246" w:lineRule="auto"/>
        <w:rPr>
          <w:sz w:val="20"/>
          <w:szCs w:val="20"/>
          <w:color w:val="auto"/>
        </w:rPr>
      </w:pPr>
      <w:r>
        <w:rPr>
          <w:rFonts w:ascii="Arial" w:cs="Arial" w:eastAsia="Arial" w:hAnsi="Arial"/>
          <w:sz w:val="18"/>
          <w:szCs w:val="18"/>
          <w:color w:val="auto"/>
        </w:rPr>
        <w:t>The deferred tax benefits are related to the amortization of deferred tax liabilities resulting from the intangible assets acquired from business acquisitions.</w:t>
      </w:r>
    </w:p>
    <w:p>
      <w:pPr>
        <w:spacing w:after="0" w:line="197"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The Group recorded a full valuation allowance against deferred tax assets of all its consolidated entities because all entities were in a cumulative loss position as of December 31, 2020 and March 31, 2021. No unrecognized tax benefits and related interest and penalties were recorded in any of the periods presented.</w:t>
      </w:r>
    </w:p>
    <w:p>
      <w:pPr>
        <w:spacing w:after="0" w:line="329" w:lineRule="exact"/>
        <w:rPr>
          <w:sz w:val="20"/>
          <w:szCs w:val="20"/>
          <w:color w:val="auto"/>
        </w:rPr>
      </w:pPr>
    </w:p>
    <w:p>
      <w:pPr>
        <w:ind w:left="660" w:hanging="544"/>
        <w:spacing w:after="0"/>
        <w:tabs>
          <w:tab w:leader="none" w:pos="6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bonds</w:t>
      </w:r>
    </w:p>
    <w:p>
      <w:pPr>
        <w:spacing w:after="0" w:line="126"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On November 28, 2016, the Group’s PRC subsidiary, Shanghai Yueyee, issued non-interest bearing convertible bonds (the “2016 Notes”) with an aggregate principal amount of RMB200,000 and a maturity date of June 2018. Upon approval of ODI, the holders can at their option, to redeem the 2016 Notes in RMB and to purchase Series C-3 convertible redeemable preferred shares from the Company at US$2.6532 per share in US dollars for an amount equivalent to the principal of the 2016 Notes. This option to subscribe for the convertible redeemable preferred shares is not a free-standing financial instrument, but in essence a conversion option embedded in the 2016 Notes as it can only be exercised together with the redemption of the Notes.</w:t>
      </w:r>
    </w:p>
    <w:p>
      <w:pPr>
        <w:spacing w:after="0" w:line="205" w:lineRule="exact"/>
        <w:rPr>
          <w:sz w:val="20"/>
          <w:szCs w:val="20"/>
          <w:color w:val="auto"/>
        </w:rPr>
      </w:pPr>
    </w:p>
    <w:p>
      <w:pPr>
        <w:ind w:left="120" w:right="100" w:firstLine="551"/>
        <w:spacing w:after="0" w:line="238" w:lineRule="auto"/>
        <w:rPr>
          <w:sz w:val="20"/>
          <w:szCs w:val="20"/>
          <w:color w:val="auto"/>
        </w:rPr>
      </w:pPr>
      <w:r>
        <w:rPr>
          <w:rFonts w:ascii="Arial" w:cs="Arial" w:eastAsia="Arial" w:hAnsi="Arial"/>
          <w:sz w:val="18"/>
          <w:szCs w:val="18"/>
          <w:color w:val="auto"/>
        </w:rPr>
        <w:t>The Group determined the conversion feature of the convertible bond is not an embedded derivative and therefore bifurcation from the convertible bonds is not required. Further, there’s no beneficial conversion feature associated with the conversion option as the effective conversion price was higher than the fair value of the underlying shares. The 2016 Notes were recorded as a liability in their entirety at amortized cost on the condensed consolidated balance sheets.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bonds—(Continued)</w:t>
      </w:r>
    </w:p>
    <w:p>
      <w:pPr>
        <w:spacing w:after="0" w:line="139"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In 2018, RMB40,000 of the 2016 Notes was converted into 2,255,380 Series C-3 convertible redeemable preferred shares at the contractual conversion price.</w:t>
      </w:r>
    </w:p>
    <w:p>
      <w:pPr>
        <w:spacing w:after="0" w:line="197" w:lineRule="exact"/>
        <w:rPr>
          <w:sz w:val="20"/>
          <w:szCs w:val="20"/>
          <w:color w:val="auto"/>
        </w:rPr>
      </w:pPr>
    </w:p>
    <w:p>
      <w:pPr>
        <w:ind w:left="120" w:right="640" w:firstLine="551"/>
        <w:spacing w:after="0" w:line="246" w:lineRule="auto"/>
        <w:rPr>
          <w:sz w:val="20"/>
          <w:szCs w:val="20"/>
          <w:color w:val="auto"/>
        </w:rPr>
      </w:pPr>
      <w:r>
        <w:rPr>
          <w:rFonts w:ascii="Arial" w:cs="Arial" w:eastAsia="Arial" w:hAnsi="Arial"/>
          <w:sz w:val="18"/>
          <w:szCs w:val="18"/>
          <w:color w:val="auto"/>
        </w:rPr>
        <w:t>During the first quarter of 2021, another RMB70,000 of the 2016 Notes was converted into 3,946,915 Series C-3 convertible redeemable preferred shares at the contractual conversion price.</w:t>
      </w:r>
    </w:p>
    <w:p>
      <w:pPr>
        <w:spacing w:after="0" w:line="323" w:lineRule="exact"/>
        <w:rPr>
          <w:sz w:val="20"/>
          <w:szCs w:val="20"/>
          <w:color w:val="auto"/>
        </w:rPr>
      </w:pPr>
    </w:p>
    <w:p>
      <w:pPr>
        <w:ind w:left="660" w:hanging="544"/>
        <w:spacing w:after="0"/>
        <w:tabs>
          <w:tab w:leader="none" w:pos="6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redeemable preferred shares</w:t>
      </w:r>
    </w:p>
    <w:p>
      <w:pPr>
        <w:spacing w:after="0" w:line="126" w:lineRule="exact"/>
        <w:rPr>
          <w:sz w:val="20"/>
          <w:szCs w:val="20"/>
          <w:color w:val="auto"/>
        </w:rPr>
      </w:pPr>
    </w:p>
    <w:p>
      <w:pPr>
        <w:ind w:left="120" w:right="580" w:firstLine="551"/>
        <w:spacing w:after="0" w:line="246" w:lineRule="auto"/>
        <w:rPr>
          <w:sz w:val="20"/>
          <w:szCs w:val="20"/>
          <w:color w:val="auto"/>
        </w:rPr>
      </w:pPr>
      <w:r>
        <w:rPr>
          <w:rFonts w:ascii="Arial" w:cs="Arial" w:eastAsia="Arial" w:hAnsi="Arial"/>
          <w:sz w:val="18"/>
          <w:szCs w:val="18"/>
          <w:color w:val="auto"/>
        </w:rPr>
        <w:t>The following table summarizes changes in the carrying amount of the convertible redeemable preferred shares for the three months ended March 31, 2020 and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9"/>
              </w:rPr>
              <w:t>Series A</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B</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C</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Series D</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Convertible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56"/>
        </w:trPr>
        <w:tc>
          <w:tcPr>
            <w:tcW w:w="22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4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RMB</w:t>
            </w:r>
          </w:p>
        </w:tc>
        <w:tc>
          <w:tcPr>
            <w:tcW w:w="40" w:type="dxa"/>
            <w:vAlign w:val="bottom"/>
            <w:tcBorders>
              <w:bottom w:val="single" w:sz="8" w:color="CCEEFF"/>
            </w:tcBorders>
          </w:tcPr>
          <w:p>
            <w:pPr>
              <w:spacing w:after="0"/>
              <w:rPr>
                <w:sz w:val="13"/>
                <w:szCs w:val="13"/>
                <w:color w:val="auto"/>
              </w:rPr>
            </w:pPr>
          </w:p>
        </w:tc>
      </w:tr>
      <w:tr>
        <w:trPr>
          <w:trHeight w:val="129"/>
        </w:trPr>
        <w:tc>
          <w:tcPr>
            <w:tcW w:w="22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89"/>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2020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361,963</w:t>
            </w:r>
          </w:p>
        </w:tc>
        <w:tc>
          <w:tcPr>
            <w:tcW w:w="4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295,666</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1,393,992</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1,005,852</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4,022,605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7,080,078</w:t>
            </w:r>
          </w:p>
        </w:tc>
      </w:tr>
      <w:tr>
        <w:trPr>
          <w:trHeight w:val="169"/>
        </w:trPr>
        <w:tc>
          <w:tcPr>
            <w:tcW w:w="2260" w:type="dxa"/>
            <w:vAlign w:val="bottom"/>
          </w:tcPr>
          <w:p>
            <w:pPr>
              <w:spacing w:after="0"/>
              <w:rPr>
                <w:sz w:val="20"/>
                <w:szCs w:val="20"/>
                <w:color w:val="auto"/>
              </w:rPr>
            </w:pPr>
            <w:r>
              <w:rPr>
                <w:rFonts w:ascii="Arial" w:cs="Arial" w:eastAsia="Arial" w:hAnsi="Arial"/>
                <w:sz w:val="14"/>
                <w:szCs w:val="14"/>
                <w:color w:val="auto"/>
              </w:rPr>
              <w:t>Accretion</w:t>
            </w:r>
          </w:p>
        </w:tc>
        <w:tc>
          <w:tcPr>
            <w:tcW w:w="1600" w:type="dxa"/>
            <w:vAlign w:val="bottom"/>
            <w:gridSpan w:val="3"/>
          </w:tcPr>
          <w:p>
            <w:pPr>
              <w:jc w:val="right"/>
              <w:ind w:right="460"/>
              <w:spacing w:after="0"/>
              <w:rPr>
                <w:sz w:val="20"/>
                <w:szCs w:val="20"/>
                <w:color w:val="auto"/>
              </w:rPr>
            </w:pPr>
            <w:r>
              <w:rPr>
                <w:rFonts w:ascii="Arial" w:cs="Arial" w:eastAsia="Arial" w:hAnsi="Arial"/>
                <w:sz w:val="14"/>
                <w:szCs w:val="14"/>
                <w:color w:val="auto"/>
              </w:rPr>
              <w:t>20,828</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16,492</w:t>
            </w:r>
          </w:p>
        </w:tc>
        <w:tc>
          <w:tcPr>
            <w:tcW w:w="1600" w:type="dxa"/>
            <w:vAlign w:val="bottom"/>
            <w:gridSpan w:val="2"/>
          </w:tcPr>
          <w:p>
            <w:pPr>
              <w:jc w:val="right"/>
              <w:ind w:right="440"/>
              <w:spacing w:after="0"/>
              <w:rPr>
                <w:sz w:val="20"/>
                <w:szCs w:val="20"/>
                <w:color w:val="auto"/>
              </w:rPr>
            </w:pPr>
            <w:r>
              <w:rPr>
                <w:rFonts w:ascii="Arial" w:cs="Arial" w:eastAsia="Arial" w:hAnsi="Arial"/>
                <w:sz w:val="14"/>
                <w:szCs w:val="14"/>
                <w:color w:val="auto"/>
              </w:rPr>
              <w:t>77,861</w:t>
            </w:r>
          </w:p>
        </w:tc>
        <w:tc>
          <w:tcPr>
            <w:tcW w:w="1620" w:type="dxa"/>
            <w:vAlign w:val="bottom"/>
            <w:gridSpan w:val="2"/>
          </w:tcPr>
          <w:p>
            <w:pPr>
              <w:jc w:val="right"/>
              <w:ind w:right="460"/>
              <w:spacing w:after="0"/>
              <w:rPr>
                <w:sz w:val="20"/>
                <w:szCs w:val="20"/>
                <w:color w:val="auto"/>
              </w:rPr>
            </w:pPr>
            <w:r>
              <w:rPr>
                <w:rFonts w:ascii="Arial" w:cs="Arial" w:eastAsia="Arial" w:hAnsi="Arial"/>
                <w:sz w:val="14"/>
                <w:szCs w:val="14"/>
                <w:color w:val="auto"/>
              </w:rPr>
              <w:t>36,935</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174,007</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326,123</w:t>
            </w:r>
          </w:p>
        </w:tc>
      </w:tr>
      <w:tr>
        <w:trPr>
          <w:trHeight w:val="149"/>
        </w:trPr>
        <w:tc>
          <w:tcPr>
            <w:tcW w:w="2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March 31,</w:t>
            </w: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9"/>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382,791</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312,158</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1,471,853</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1,042,787</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4,196,612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7,406,201</w:t>
            </w:r>
          </w:p>
        </w:tc>
      </w:tr>
      <w:tr>
        <w:trPr>
          <w:trHeight w:val="20"/>
        </w:trPr>
        <w:tc>
          <w:tcPr>
            <w:tcW w:w="2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2260" w:type="dxa"/>
            <w:vAlign w:val="bottom"/>
          </w:tcPr>
          <w:p>
            <w:pPr>
              <w:spacing w:after="0"/>
              <w:rPr>
                <w:sz w:val="24"/>
                <w:szCs w:val="2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9"/>
              </w:rPr>
              <w:t>Series A</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B</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C</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Series D</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Series E</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2260" w:type="dxa"/>
            <w:vAlign w:val="bottom"/>
          </w:tcPr>
          <w:p>
            <w:pPr>
              <w:spacing w:after="0"/>
              <w:rPr>
                <w:sz w:val="14"/>
                <w:szCs w:val="1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Convertible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Convertible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60" w:type="dxa"/>
            <w:vAlign w:val="bottom"/>
          </w:tcPr>
          <w:p>
            <w:pPr>
              <w:spacing w:after="0"/>
              <w:rPr>
                <w:sz w:val="14"/>
                <w:szCs w:val="14"/>
                <w:color w:val="auto"/>
              </w:rPr>
            </w:pPr>
          </w:p>
        </w:tc>
        <w:tc>
          <w:tcPr>
            <w:tcW w:w="16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redeemable</w:t>
            </w: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redeemable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2260" w:type="dxa"/>
            <w:vAlign w:val="bottom"/>
          </w:tcPr>
          <w:p>
            <w:pPr>
              <w:spacing w:after="0"/>
              <w:rPr>
                <w:sz w:val="15"/>
                <w:szCs w:val="15"/>
                <w:color w:val="auto"/>
              </w:rPr>
            </w:pPr>
          </w:p>
        </w:tc>
        <w:tc>
          <w:tcPr>
            <w:tcW w:w="16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preferred shares</w:t>
            </w:r>
          </w:p>
        </w:tc>
        <w:tc>
          <w:tcPr>
            <w:tcW w:w="1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preferred shares</w:t>
            </w: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55"/>
        </w:trPr>
        <w:tc>
          <w:tcPr>
            <w:tcW w:w="22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gridSpan w:val="2"/>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4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4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RMB</w:t>
            </w:r>
          </w:p>
        </w:tc>
        <w:tc>
          <w:tcPr>
            <w:tcW w:w="40" w:type="dxa"/>
            <w:vAlign w:val="bottom"/>
            <w:tcBorders>
              <w:bottom w:val="single" w:sz="8" w:color="CCEEFF"/>
            </w:tcBorders>
          </w:tcPr>
          <w:p>
            <w:pPr>
              <w:spacing w:after="0"/>
              <w:rPr>
                <w:sz w:val="13"/>
                <w:szCs w:val="13"/>
                <w:color w:val="auto"/>
              </w:rPr>
            </w:pPr>
          </w:p>
        </w:tc>
      </w:tr>
      <w:tr>
        <w:trPr>
          <w:trHeight w:val="129"/>
        </w:trPr>
        <w:tc>
          <w:tcPr>
            <w:tcW w:w="22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89"/>
        </w:trPr>
        <w:tc>
          <w:tcPr>
            <w:tcW w:w="22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 2021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445,275</w:t>
            </w:r>
          </w:p>
        </w:tc>
        <w:tc>
          <w:tcPr>
            <w:tcW w:w="4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361,633</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1,705,435</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1,153,593</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5,213,958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8,879,894</w:t>
            </w: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Issuance upon conversion</w:t>
            </w:r>
          </w:p>
        </w:tc>
        <w:tc>
          <w:tcPr>
            <w:tcW w:w="1600" w:type="dxa"/>
            <w:vAlign w:val="bottom"/>
            <w:gridSpan w:val="3"/>
          </w:tcPr>
          <w:p>
            <w:pPr>
              <w:ind w:left="92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440"/>
              <w:spacing w:after="0"/>
              <w:rPr>
                <w:sz w:val="20"/>
                <w:szCs w:val="20"/>
                <w:color w:val="auto"/>
              </w:rPr>
            </w:pPr>
            <w:r>
              <w:rPr>
                <w:rFonts w:ascii="Arial" w:cs="Arial" w:eastAsia="Arial" w:hAnsi="Arial"/>
                <w:sz w:val="14"/>
                <w:szCs w:val="14"/>
                <w:color w:val="auto"/>
              </w:rPr>
              <w:t>103,423</w:t>
            </w:r>
          </w:p>
        </w:tc>
        <w:tc>
          <w:tcPr>
            <w:tcW w:w="162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color w:val="auto"/>
              </w:rPr>
              <w:t>50,645</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154,068</w:t>
            </w:r>
          </w:p>
        </w:tc>
      </w:tr>
      <w:tr>
        <w:trPr>
          <w:trHeight w:val="162"/>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Accretion</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21,898</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17,207</w:t>
            </w: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246,015</w:t>
            </w:r>
          </w:p>
        </w:tc>
        <w:tc>
          <w:tcPr>
            <w:tcW w:w="16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37,083</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186,424</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508,627</w:t>
            </w:r>
          </w:p>
        </w:tc>
      </w:tr>
      <w:tr>
        <w:trPr>
          <w:trHeight w:val="156"/>
        </w:trPr>
        <w:tc>
          <w:tcPr>
            <w:tcW w:w="2260" w:type="dxa"/>
            <w:vAlign w:val="bottom"/>
          </w:tcPr>
          <w:p>
            <w:pPr>
              <w:spacing w:after="0" w:line="156" w:lineRule="exact"/>
              <w:rPr>
                <w:sz w:val="20"/>
                <w:szCs w:val="20"/>
                <w:color w:val="auto"/>
              </w:rPr>
            </w:pPr>
            <w:r>
              <w:rPr>
                <w:rFonts w:ascii="Arial" w:cs="Arial" w:eastAsia="Arial" w:hAnsi="Arial"/>
                <w:sz w:val="14"/>
                <w:szCs w:val="14"/>
                <w:b w:val="1"/>
                <w:bCs w:val="1"/>
                <w:color w:val="auto"/>
              </w:rPr>
              <w:t>Balance as of March 31,</w:t>
            </w:r>
          </w:p>
        </w:tc>
        <w:tc>
          <w:tcPr>
            <w:tcW w:w="11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89"/>
        </w:trPr>
        <w:tc>
          <w:tcPr>
            <w:tcW w:w="226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11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467,173</w:t>
            </w:r>
          </w:p>
        </w:tc>
        <w:tc>
          <w:tcPr>
            <w:tcW w:w="440" w:type="dxa"/>
            <w:vAlign w:val="bottom"/>
          </w:tcPr>
          <w:p>
            <w:pPr>
              <w:spacing w:after="0"/>
              <w:rPr>
                <w:sz w:val="16"/>
                <w:szCs w:val="16"/>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378,840</w:t>
            </w:r>
          </w:p>
        </w:tc>
        <w:tc>
          <w:tcPr>
            <w:tcW w:w="16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2,054,873</w:t>
            </w: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1,190,676</w:t>
            </w:r>
          </w:p>
        </w:tc>
        <w:tc>
          <w:tcPr>
            <w:tcW w:w="16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5,451,027</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9,542,589</w:t>
            </w:r>
          </w:p>
        </w:tc>
      </w:tr>
      <w:tr>
        <w:trPr>
          <w:trHeight w:val="20"/>
        </w:trPr>
        <w:tc>
          <w:tcPr>
            <w:tcW w:w="2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issuance of convertible redeemable preferred shares from January 1, 2021 to March 31, 2021:</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color w:val="auto"/>
              </w:rPr>
              <w:t>Series</w:t>
            </w:r>
          </w:p>
        </w:tc>
        <w:tc>
          <w:tcPr>
            <w:tcW w:w="2760" w:type="dxa"/>
            <w:vAlign w:val="bottom"/>
            <w:gridSpan w:val="2"/>
          </w:tcPr>
          <w:p>
            <w:pPr>
              <w:ind w:left="260"/>
              <w:spacing w:after="0"/>
              <w:rPr>
                <w:sz w:val="20"/>
                <w:szCs w:val="20"/>
                <w:color w:val="auto"/>
              </w:rPr>
            </w:pPr>
            <w:r>
              <w:rPr>
                <w:rFonts w:ascii="Arial" w:cs="Arial" w:eastAsia="Arial" w:hAnsi="Arial"/>
                <w:sz w:val="14"/>
                <w:szCs w:val="14"/>
                <w:color w:val="auto"/>
              </w:rPr>
              <w:t>Issuance date</w:t>
            </w:r>
          </w:p>
        </w:tc>
        <w:tc>
          <w:tcPr>
            <w:tcW w:w="2200" w:type="dxa"/>
            <w:vAlign w:val="bottom"/>
            <w:gridSpan w:val="2"/>
          </w:tcPr>
          <w:p>
            <w:pPr>
              <w:jc w:val="right"/>
              <w:ind w:right="1340"/>
              <w:spacing w:after="0"/>
              <w:rPr>
                <w:sz w:val="20"/>
                <w:szCs w:val="20"/>
                <w:color w:val="auto"/>
              </w:rPr>
            </w:pPr>
            <w:r>
              <w:rPr>
                <w:rFonts w:ascii="Arial" w:cs="Arial" w:eastAsia="Arial" w:hAnsi="Arial"/>
                <w:sz w:val="14"/>
                <w:szCs w:val="14"/>
                <w:color w:val="auto"/>
              </w:rPr>
              <w:t>Share Issued</w:t>
            </w:r>
          </w:p>
        </w:tc>
        <w:tc>
          <w:tcPr>
            <w:tcW w:w="2740" w:type="dxa"/>
            <w:vAlign w:val="bottom"/>
            <w:gridSpan w:val="3"/>
          </w:tcPr>
          <w:p>
            <w:pPr>
              <w:spacing w:after="0"/>
              <w:rPr>
                <w:sz w:val="20"/>
                <w:szCs w:val="20"/>
                <w:color w:val="auto"/>
              </w:rPr>
            </w:pPr>
            <w:r>
              <w:rPr>
                <w:rFonts w:ascii="Arial" w:cs="Arial" w:eastAsia="Arial" w:hAnsi="Arial"/>
                <w:sz w:val="14"/>
                <w:szCs w:val="14"/>
                <w:color w:val="auto"/>
              </w:rPr>
              <w:t>Issue Price per Share</w:t>
            </w:r>
          </w:p>
        </w:tc>
        <w:tc>
          <w:tcPr>
            <w:tcW w:w="1620" w:type="dxa"/>
            <w:vAlign w:val="bottom"/>
            <w:gridSpan w:val="2"/>
          </w:tcPr>
          <w:p>
            <w:pPr>
              <w:spacing w:after="0"/>
              <w:rPr>
                <w:sz w:val="20"/>
                <w:szCs w:val="20"/>
                <w:color w:val="auto"/>
              </w:rPr>
            </w:pPr>
            <w:r>
              <w:rPr>
                <w:rFonts w:ascii="Arial" w:cs="Arial" w:eastAsia="Arial" w:hAnsi="Arial"/>
                <w:sz w:val="14"/>
                <w:szCs w:val="14"/>
                <w:color w:val="auto"/>
              </w:rPr>
              <w:t>Proceeds from Issuance</w:t>
            </w:r>
          </w:p>
        </w:tc>
      </w:tr>
      <w:tr>
        <w:trPr>
          <w:trHeight w:val="196"/>
        </w:trPr>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C-3</w:t>
            </w:r>
          </w:p>
        </w:tc>
        <w:tc>
          <w:tcPr>
            <w:tcW w:w="128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February 8, 2021</w:t>
            </w:r>
          </w:p>
        </w:tc>
        <w:tc>
          <w:tcPr>
            <w:tcW w:w="1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5,831,426</w:t>
            </w:r>
          </w:p>
        </w:tc>
        <w:tc>
          <w:tcPr>
            <w:tcW w:w="13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US$</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w:t>
            </w:r>
          </w:p>
        </w:tc>
        <w:tc>
          <w:tcPr>
            <w:tcW w:w="13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RMB103,423</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1700" w:type="dxa"/>
            <w:vAlign w:val="bottom"/>
            <w:gridSpan w:val="2"/>
          </w:tcPr>
          <w:p>
            <w:pPr>
              <w:spacing w:after="0"/>
              <w:rPr>
                <w:sz w:val="20"/>
                <w:szCs w:val="20"/>
                <w:color w:val="auto"/>
              </w:rPr>
            </w:pPr>
            <w:r>
              <w:rPr>
                <w:rFonts w:ascii="Arial" w:cs="Arial" w:eastAsia="Arial" w:hAnsi="Arial"/>
                <w:sz w:val="18"/>
                <w:szCs w:val="18"/>
                <w:color w:val="auto"/>
              </w:rPr>
              <w:t>E+</w:t>
            </w:r>
          </w:p>
        </w:tc>
        <w:tc>
          <w:tcPr>
            <w:tcW w:w="2760" w:type="dxa"/>
            <w:vAlign w:val="bottom"/>
            <w:gridSpan w:val="2"/>
          </w:tcPr>
          <w:p>
            <w:pPr>
              <w:ind w:left="60"/>
              <w:spacing w:after="0"/>
              <w:rPr>
                <w:sz w:val="20"/>
                <w:szCs w:val="20"/>
                <w:color w:val="auto"/>
              </w:rPr>
            </w:pPr>
            <w:r>
              <w:rPr>
                <w:rFonts w:ascii="Arial" w:cs="Arial" w:eastAsia="Arial" w:hAnsi="Arial"/>
                <w:sz w:val="18"/>
                <w:szCs w:val="18"/>
                <w:color w:val="auto"/>
              </w:rPr>
              <w:t>February 8, 2021</w:t>
            </w:r>
          </w:p>
        </w:tc>
        <w:tc>
          <w:tcPr>
            <w:tcW w:w="2200" w:type="dxa"/>
            <w:vAlign w:val="bottom"/>
            <w:gridSpan w:val="2"/>
          </w:tcPr>
          <w:p>
            <w:pPr>
              <w:jc w:val="right"/>
              <w:ind w:right="1340"/>
              <w:spacing w:after="0"/>
              <w:rPr>
                <w:sz w:val="20"/>
                <w:szCs w:val="20"/>
                <w:color w:val="auto"/>
              </w:rPr>
            </w:pPr>
            <w:r>
              <w:rPr>
                <w:rFonts w:ascii="Arial" w:cs="Arial" w:eastAsia="Arial" w:hAnsi="Arial"/>
                <w:sz w:val="18"/>
                <w:szCs w:val="18"/>
                <w:color w:val="auto"/>
              </w:rPr>
              <w:t>403,747</w:t>
            </w:r>
          </w:p>
        </w:tc>
        <w:tc>
          <w:tcPr>
            <w:tcW w:w="660" w:type="dxa"/>
            <w:vAlign w:val="bottom"/>
          </w:tcPr>
          <w:p>
            <w:pPr>
              <w:spacing w:after="0"/>
              <w:rPr>
                <w:sz w:val="20"/>
                <w:szCs w:val="20"/>
                <w:color w:val="auto"/>
              </w:rPr>
            </w:pPr>
            <w:r>
              <w:rPr>
                <w:rFonts w:ascii="Arial" w:cs="Arial" w:eastAsia="Arial" w:hAnsi="Arial"/>
                <w:sz w:val="18"/>
                <w:szCs w:val="18"/>
                <w:color w:val="auto"/>
              </w:rPr>
              <w:t>US$</w:t>
            </w:r>
          </w:p>
        </w:tc>
        <w:tc>
          <w:tcPr>
            <w:tcW w:w="2080" w:type="dxa"/>
            <w:vAlign w:val="bottom"/>
            <w:gridSpan w:val="2"/>
          </w:tcPr>
          <w:p>
            <w:pPr>
              <w:jc w:val="right"/>
              <w:ind w:right="1340"/>
              <w:spacing w:after="0"/>
              <w:rPr>
                <w:sz w:val="20"/>
                <w:szCs w:val="20"/>
                <w:color w:val="auto"/>
              </w:rPr>
            </w:pPr>
            <w:r>
              <w:rPr>
                <w:rFonts w:ascii="Arial" w:cs="Arial" w:eastAsia="Arial" w:hAnsi="Arial"/>
                <w:sz w:val="18"/>
                <w:szCs w:val="18"/>
                <w:color w:val="auto"/>
              </w:rPr>
              <w:t>17.84</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RMB50,645</w:t>
            </w:r>
          </w:p>
        </w:tc>
      </w:tr>
      <w:tr>
        <w:trPr>
          <w:trHeight w:val="350"/>
        </w:trPr>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0" w:type="dxa"/>
            <w:vAlign w:val="bottom"/>
            <w:gridSpan w:val="2"/>
          </w:tcPr>
          <w:p>
            <w:pPr>
              <w:jc w:val="right"/>
              <w:ind w:right="980"/>
              <w:spacing w:after="0"/>
              <w:rPr>
                <w:sz w:val="20"/>
                <w:szCs w:val="20"/>
                <w:color w:val="auto"/>
              </w:rPr>
            </w:pPr>
            <w:r>
              <w:rPr>
                <w:rFonts w:ascii="Arial" w:cs="Arial" w:eastAsia="Arial" w:hAnsi="Arial"/>
                <w:sz w:val="18"/>
                <w:szCs w:val="18"/>
                <w:color w:val="auto"/>
              </w:rPr>
              <w:t>F-64</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11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120" w:right="5760" w:hanging="4"/>
        <w:spacing w:after="0" w:line="403" w:lineRule="auto"/>
        <w:tabs>
          <w:tab w:leader="none" w:pos="660"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Convertible redeemable preferred shares—(Continued) </w:t>
      </w:r>
      <w:r>
        <w:rPr>
          <w:rFonts w:ascii="Arial" w:cs="Arial" w:eastAsia="Arial" w:hAnsi="Arial"/>
          <w:sz w:val="17"/>
          <w:szCs w:val="17"/>
          <w:b w:val="1"/>
          <w:bCs w:val="1"/>
          <w:i w:val="1"/>
          <w:iCs w:val="1"/>
          <w:color w:val="auto"/>
        </w:rPr>
        <w:t>Accounting of Convertible Redeemable Preferred Shares</w:t>
      </w:r>
    </w:p>
    <w:p>
      <w:pPr>
        <w:ind w:left="120" w:right="40" w:firstLine="551"/>
        <w:spacing w:after="0" w:line="238" w:lineRule="auto"/>
        <w:rPr>
          <w:sz w:val="20"/>
          <w:szCs w:val="20"/>
          <w:color w:val="auto"/>
        </w:rPr>
      </w:pPr>
      <w:r>
        <w:rPr>
          <w:rFonts w:ascii="Arial" w:cs="Arial" w:eastAsia="Arial" w:hAnsi="Arial"/>
          <w:sz w:val="18"/>
          <w:szCs w:val="18"/>
          <w:color w:val="auto"/>
        </w:rPr>
        <w:t>The Company classified all preferred shares as mezzanine equity in the condensed consolidated balance sheets because they are redeemable at the holders’ option any time after a certain date and are contingently redeemable upon the occurrence of certain liquidation events outside of the Company’s control. The convertible redeemable preferred shares are recorded initially at fair value, net of issuance costs.</w:t>
      </w:r>
    </w:p>
    <w:p>
      <w:pPr>
        <w:spacing w:after="0" w:line="2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Company records accretion on the convertible redeemable preferred shares to the redemption value from the issuance dates to the earliest redemption dates. The accretion, calculated as the current redemption value, is recorded against retained earnings, or in the absence of retained earnings, by charging against additional paid-in capital. Once additional paid-in capital has been exhausted, additional charges are recorded by increasing the accumulated deficit. The accretion of convertible redeemable preferred shares was RMB326,123 and RMB508,627 for the three months ended March 31, 2020 and 2021, respectively.</w:t>
      </w:r>
    </w:p>
    <w:p>
      <w:pPr>
        <w:spacing w:after="0" w:line="202" w:lineRule="exact"/>
        <w:rPr>
          <w:sz w:val="20"/>
          <w:szCs w:val="20"/>
          <w:color w:val="auto"/>
        </w:rPr>
      </w:pPr>
    </w:p>
    <w:p>
      <w:pPr>
        <w:ind w:left="120" w:right="240" w:firstLine="551"/>
        <w:spacing w:after="0" w:line="246" w:lineRule="auto"/>
        <w:rPr>
          <w:sz w:val="20"/>
          <w:szCs w:val="20"/>
          <w:color w:val="auto"/>
        </w:rPr>
      </w:pPr>
      <w:r>
        <w:rPr>
          <w:rFonts w:ascii="Arial" w:cs="Arial" w:eastAsia="Arial" w:hAnsi="Arial"/>
          <w:sz w:val="18"/>
          <w:szCs w:val="18"/>
          <w:color w:val="auto"/>
        </w:rPr>
        <w:t>The Company determined that the embedded conversion features and the redemption features do not require bifurcation as they either are clearly and closely related to the convertible redeemable preferred shares or do not meet the definition of a derivative.</w:t>
      </w:r>
    </w:p>
    <w:p>
      <w:pPr>
        <w:spacing w:after="0" w:line="197" w:lineRule="exact"/>
        <w:rPr>
          <w:sz w:val="20"/>
          <w:szCs w:val="20"/>
          <w:color w:val="auto"/>
        </w:rPr>
      </w:pPr>
    </w:p>
    <w:p>
      <w:pPr>
        <w:jc w:val="both"/>
        <w:ind w:left="120" w:right="160" w:firstLine="551"/>
        <w:spacing w:after="0"/>
        <w:rPr>
          <w:sz w:val="20"/>
          <w:szCs w:val="20"/>
          <w:color w:val="auto"/>
        </w:rPr>
      </w:pPr>
      <w:r>
        <w:rPr>
          <w:rFonts w:ascii="Arial" w:cs="Arial" w:eastAsia="Arial" w:hAnsi="Arial"/>
          <w:sz w:val="18"/>
          <w:szCs w:val="18"/>
          <w:color w:val="auto"/>
        </w:rPr>
        <w:t>The Company has determined that there was no beneficial conversion feature attributable to all convertible redeemable preferred shares because the initial effective conversion prices of these convertible redeemable preferred shares were higher than the fair value of the Company’s ordinary shares determined by the Company taking into account independent valuations.</w:t>
      </w:r>
    </w:p>
    <w:p>
      <w:pPr>
        <w:spacing w:after="0" w:line="329" w:lineRule="exact"/>
        <w:rPr>
          <w:sz w:val="20"/>
          <w:szCs w:val="20"/>
          <w:color w:val="auto"/>
        </w:rPr>
      </w:pPr>
    </w:p>
    <w:p>
      <w:pPr>
        <w:ind w:left="660" w:hanging="544"/>
        <w:spacing w:after="0"/>
        <w:tabs>
          <w:tab w:leader="none" w:pos="6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126"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color w:val="auto"/>
        </w:rPr>
        <w:t>The Group granted 981,847 share options with weighted average exercise price RMB0.70 (equivalent to US$0.10) and weighted average grant date fair value RMB38.12 for the three months ended March 31, 2020. The Group did not grant any share option to its employees for the three months ended March 31, 2021.</w:t>
      </w:r>
    </w:p>
    <w:p>
      <w:pPr>
        <w:spacing w:after="0" w:line="203"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For the three months ended March 31, 2020, there were 2,635,495 share options forfeited with weighted average exercise price RMB0.70 (equivalent to US$0.10) and weighted average grant date fair value RMB9.09. For the three months ended March 31, 2021, there were 53,545 share options forfeited with weighted average exercise price RMB0.65 (equivalent to US$0.10) and weighted average grant date fair value RMB29.39.</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ordinary shareholders</w:t>
      </w:r>
    </w:p>
    <w:p>
      <w:pPr>
        <w:spacing w:after="0" w:line="126"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calculation of diluted net loss per share does not include the effect of share options, conversions of convertible bonds and convertible redeemable preferred shares at total 115,689,757 and 120,224,843 shares as for the three months ended March 31, 2020 and 2021 as the effect of the inclusion was anti-dilutive.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25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480" w:type="dxa"/>
            <w:vAlign w:val="bottom"/>
          </w:tcPr>
          <w:p>
            <w:pPr>
              <w:spacing w:after="0"/>
              <w:rPr>
                <w:sz w:val="15"/>
                <w:szCs w:val="15"/>
                <w:color w:val="auto"/>
              </w:rPr>
            </w:pPr>
          </w:p>
        </w:tc>
        <w:tc>
          <w:tcPr>
            <w:tcW w:w="25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8480" w:type="dxa"/>
            <w:vAlign w:val="bottom"/>
          </w:tcPr>
          <w:p>
            <w:pPr>
              <w:spacing w:after="0"/>
              <w:rPr>
                <w:sz w:val="13"/>
                <w:szCs w:val="13"/>
                <w:color w:val="auto"/>
              </w:rPr>
            </w:pPr>
          </w:p>
        </w:tc>
        <w:tc>
          <w:tcPr>
            <w:tcW w:w="106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r>
      <w:tr>
        <w:trPr>
          <w:trHeight w:val="155"/>
        </w:trPr>
        <w:tc>
          <w:tcPr>
            <w:tcW w:w="8480" w:type="dxa"/>
            <w:vAlign w:val="bottom"/>
          </w:tcPr>
          <w:p>
            <w:pPr>
              <w:spacing w:after="0"/>
              <w:rPr>
                <w:sz w:val="13"/>
                <w:szCs w:val="13"/>
                <w:color w:val="auto"/>
              </w:rPr>
            </w:pPr>
          </w:p>
        </w:tc>
        <w:tc>
          <w:tcPr>
            <w:tcW w:w="106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3"/>
                <w:szCs w:val="13"/>
                <w:color w:val="auto"/>
              </w:rPr>
            </w:pPr>
          </w:p>
        </w:tc>
        <w:tc>
          <w:tcPr>
            <w:tcW w:w="1080" w:type="dxa"/>
            <w:vAlign w:val="bottom"/>
          </w:tcPr>
          <w:p>
            <w:pPr>
              <w:ind w:left="380"/>
              <w:spacing w:after="0" w:line="155"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3"/>
                <w:szCs w:val="13"/>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(186,265)</w:t>
            </w: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(94,781)</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to convertible redeemable preferred shares redemption value</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(326,123)</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(508,627)</w:t>
            </w:r>
          </w:p>
        </w:tc>
      </w:tr>
      <w:tr>
        <w:trPr>
          <w:trHeight w:val="20"/>
        </w:trPr>
        <w:tc>
          <w:tcPr>
            <w:tcW w:w="8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(512,388)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(603,408)</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Weighted average number of ordinary shares used in computing basic and diluted loss per ordinary</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share</w:t>
            </w:r>
          </w:p>
        </w:tc>
        <w:tc>
          <w:tcPr>
            <w:tcW w:w="13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18,782,620</w:t>
            </w:r>
          </w:p>
        </w:tc>
        <w:tc>
          <w:tcPr>
            <w:tcW w:w="12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18,782,620</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loss per ordinary share basic and diluted</w:t>
            </w:r>
          </w:p>
        </w:tc>
        <w:tc>
          <w:tcPr>
            <w:tcW w:w="13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(27.28)</w:t>
            </w: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(32.13)</w:t>
            </w:r>
          </w:p>
        </w:tc>
      </w:tr>
    </w:tbl>
    <w:p>
      <w:pPr>
        <w:spacing w:after="0" w:line="342" w:lineRule="exact"/>
        <w:rPr>
          <w:sz w:val="20"/>
          <w:szCs w:val="20"/>
          <w:color w:val="auto"/>
        </w:rPr>
      </w:pPr>
    </w:p>
    <w:p>
      <w:pPr>
        <w:ind w:left="660" w:hanging="544"/>
        <w:spacing w:after="0"/>
        <w:tabs>
          <w:tab w:leader="none" w:pos="66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table below sets forth major related parties and their relationships with the Group:</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160" w:type="dxa"/>
            <w:vAlign w:val="bottom"/>
            <w:gridSpan w:val="2"/>
          </w:tcPr>
          <w:p>
            <w:pPr>
              <w:spacing w:after="0"/>
              <w:rPr>
                <w:sz w:val="20"/>
                <w:szCs w:val="20"/>
                <w:color w:val="auto"/>
              </w:rPr>
            </w:pPr>
            <w:r>
              <w:rPr>
                <w:rFonts w:ascii="Arial" w:cs="Arial" w:eastAsia="Arial" w:hAnsi="Arial"/>
                <w:sz w:val="14"/>
                <w:szCs w:val="14"/>
                <w:b w:val="1"/>
                <w:bCs w:val="1"/>
                <w:color w:val="auto"/>
              </w:rPr>
              <w:t>Company Name</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rPr>
              <w:t>Relationship with the Group</w:t>
            </w:r>
          </w:p>
        </w:tc>
      </w:tr>
      <w:tr>
        <w:trPr>
          <w:trHeight w:val="20"/>
        </w:trPr>
        <w:tc>
          <w:tcPr>
            <w:tcW w:w="108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r>
      <w:tr>
        <w:trPr>
          <w:trHeight w:val="189"/>
        </w:trPr>
        <w:tc>
          <w:tcPr>
            <w:tcW w:w="7160" w:type="dxa"/>
            <w:vAlign w:val="bottom"/>
            <w:gridSpan w:val="2"/>
          </w:tcPr>
          <w:p>
            <w:pPr>
              <w:spacing w:after="0" w:line="189" w:lineRule="exact"/>
              <w:rPr>
                <w:sz w:val="20"/>
                <w:szCs w:val="20"/>
                <w:color w:val="auto"/>
              </w:rPr>
            </w:pPr>
            <w:r>
              <w:rPr>
                <w:rFonts w:ascii="Arial" w:cs="Arial" w:eastAsia="Arial" w:hAnsi="Arial"/>
                <w:sz w:val="18"/>
                <w:szCs w:val="18"/>
                <w:color w:val="auto"/>
              </w:rPr>
              <w:t>JD and its subsidiaries (“JD Group”)</w:t>
            </w:r>
          </w:p>
        </w:tc>
        <w:tc>
          <w:tcPr>
            <w:tcW w:w="3860" w:type="dxa"/>
            <w:vAlign w:val="bottom"/>
          </w:tcPr>
          <w:p>
            <w:pPr>
              <w:jc w:val="center"/>
              <w:spacing w:after="0" w:line="189" w:lineRule="exact"/>
              <w:rPr>
                <w:sz w:val="20"/>
                <w:szCs w:val="20"/>
                <w:color w:val="auto"/>
              </w:rPr>
            </w:pPr>
            <w:r>
              <w:rPr>
                <w:rFonts w:ascii="Arial" w:cs="Arial" w:eastAsia="Arial" w:hAnsi="Arial"/>
                <w:sz w:val="18"/>
                <w:szCs w:val="18"/>
                <w:color w:val="auto"/>
              </w:rPr>
              <w:t>A shareholder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5Y Capital’s affiliates (“5Y Capital”, previously known as “Morningside”)</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rPr>
              <w:t>A shareholder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Baowu (Beijing) Technology Co., Ltd (“Baowu”)</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Beijing Xichen Technology Co., Ltd and its subsidiaries (“Xichen Group”)</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2"/>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Fuzhou Ruifeng Renewable resources Co., Ltd (“Ruifeng”)</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Jinsong (Shanghai) Network Information Technology Co., Ltd (“Jinsong”)</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Manak Waste Management Private Limited (“Manak”)</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Shanghai Meda Information Technology Co., Ltd (“Meda”)</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Shanghai Yuekun Environmental Protection Technology Co., Ltd (“Yuekun”)</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 subsidiary of 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Shanghai Yueqing Information Technology Co., Ltd (“Yueqing”)</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03"/>
        </w:trPr>
        <w:tc>
          <w:tcPr>
            <w:tcW w:w="7160" w:type="dxa"/>
            <w:vAlign w:val="bottom"/>
            <w:gridSpan w:val="2"/>
          </w:tcPr>
          <w:p>
            <w:pPr>
              <w:spacing w:after="0" w:line="202" w:lineRule="exact"/>
              <w:rPr>
                <w:sz w:val="20"/>
                <w:szCs w:val="20"/>
                <w:color w:val="auto"/>
              </w:rPr>
            </w:pPr>
            <w:r>
              <w:rPr>
                <w:rFonts w:ascii="Arial" w:cs="Arial" w:eastAsia="Arial" w:hAnsi="Arial"/>
                <w:sz w:val="18"/>
                <w:szCs w:val="18"/>
                <w:color w:val="auto"/>
              </w:rPr>
              <w:t>Shenzhen Aileyou Information Technology Co., Ltd (“Aileyou”)</w:t>
            </w:r>
          </w:p>
        </w:tc>
        <w:tc>
          <w:tcPr>
            <w:tcW w:w="3860" w:type="dxa"/>
            <w:vAlign w:val="bottom"/>
          </w:tcPr>
          <w:p>
            <w:pPr>
              <w:jc w:val="center"/>
              <w:spacing w:after="0" w:line="202" w:lineRule="exact"/>
              <w:rPr>
                <w:sz w:val="20"/>
                <w:szCs w:val="20"/>
                <w:color w:val="auto"/>
              </w:rPr>
            </w:pPr>
            <w:r>
              <w:rPr>
                <w:rFonts w:ascii="Arial" w:cs="Arial" w:eastAsia="Arial" w:hAnsi="Arial"/>
                <w:sz w:val="18"/>
                <w:szCs w:val="18"/>
                <w:color w:val="auto"/>
                <w:w w:val="99"/>
              </w:rPr>
              <w:t>An investee of the Group</w:t>
            </w:r>
          </w:p>
        </w:tc>
      </w:tr>
      <w:tr>
        <w:trPr>
          <w:trHeight w:val="217"/>
        </w:trPr>
        <w:tc>
          <w:tcPr>
            <w:tcW w:w="7160" w:type="dxa"/>
            <w:vAlign w:val="bottom"/>
            <w:gridSpan w:val="2"/>
          </w:tcPr>
          <w:p>
            <w:pPr>
              <w:spacing w:after="0"/>
              <w:rPr>
                <w:sz w:val="20"/>
                <w:szCs w:val="20"/>
                <w:color w:val="auto"/>
              </w:rPr>
            </w:pPr>
            <w:r>
              <w:rPr>
                <w:rFonts w:ascii="Arial" w:cs="Arial" w:eastAsia="Arial" w:hAnsi="Arial"/>
                <w:sz w:val="18"/>
                <w:szCs w:val="18"/>
                <w:color w:val="auto"/>
              </w:rPr>
              <w:t>Shanghai Yueyie Network Information Technology Co., Ltd (“Yueyie”)</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An investee of the Group</w:t>
            </w:r>
          </w:p>
        </w:tc>
      </w:tr>
      <w:tr>
        <w:trPr>
          <w:trHeight w:val="351"/>
        </w:trPr>
        <w:tc>
          <w:tcPr>
            <w:tcW w:w="1080" w:type="dxa"/>
            <w:vAlign w:val="bottom"/>
          </w:tcPr>
          <w:p>
            <w:pPr>
              <w:spacing w:after="0"/>
              <w:rPr>
                <w:sz w:val="24"/>
                <w:szCs w:val="24"/>
                <w:color w:val="auto"/>
              </w:rPr>
            </w:pPr>
          </w:p>
        </w:tc>
        <w:tc>
          <w:tcPr>
            <w:tcW w:w="6080" w:type="dxa"/>
            <w:vAlign w:val="bottom"/>
          </w:tcPr>
          <w:p>
            <w:pPr>
              <w:ind w:left="4240"/>
              <w:spacing w:after="0"/>
              <w:rPr>
                <w:sz w:val="20"/>
                <w:szCs w:val="20"/>
                <w:color w:val="auto"/>
              </w:rPr>
            </w:pPr>
            <w:r>
              <w:rPr>
                <w:rFonts w:ascii="Arial" w:cs="Arial" w:eastAsia="Arial" w:hAnsi="Arial"/>
                <w:sz w:val="18"/>
                <w:szCs w:val="18"/>
                <w:color w:val="auto"/>
              </w:rPr>
              <w:t>F-66</w:t>
            </w:r>
          </w:p>
        </w:tc>
        <w:tc>
          <w:tcPr>
            <w:tcW w:w="38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transactions—(Continued)</w:t>
      </w:r>
    </w:p>
    <w:p>
      <w:pPr>
        <w:spacing w:after="0" w:line="13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2020 and 2021, significant related party transactions were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00" w:type="dxa"/>
            <w:vAlign w:val="bottom"/>
          </w:tcPr>
          <w:p>
            <w:pPr>
              <w:spacing w:after="0"/>
              <w:rPr>
                <w:sz w:val="14"/>
                <w:szCs w:val="14"/>
                <w:color w:val="auto"/>
              </w:rPr>
            </w:pPr>
          </w:p>
        </w:tc>
        <w:tc>
          <w:tcPr>
            <w:tcW w:w="21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15"/>
                <w:szCs w:val="15"/>
                <w:color w:val="auto"/>
              </w:rPr>
            </w:pPr>
          </w:p>
        </w:tc>
        <w:tc>
          <w:tcPr>
            <w:tcW w:w="21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890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900" w:type="dxa"/>
            <w:vAlign w:val="bottom"/>
          </w:tcPr>
          <w:p>
            <w:pPr>
              <w:spacing w:after="0"/>
              <w:rPr>
                <w:sz w:val="13"/>
                <w:szCs w:val="13"/>
                <w:color w:val="auto"/>
              </w:rPr>
            </w:pPr>
          </w:p>
        </w:tc>
        <w:tc>
          <w:tcPr>
            <w:tcW w:w="70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Merchandise costs</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Purchase from JD Group</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13,378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Selling and marketing expenses</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Commission service received from JD Group</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19,816</w:t>
            </w:r>
          </w:p>
        </w:tc>
        <w:tc>
          <w:tcPr>
            <w:tcW w:w="340" w:type="dxa"/>
            <w:vAlign w:val="bottom"/>
          </w:tcPr>
          <w:p>
            <w:pPr>
              <w:spacing w:after="0"/>
              <w:rPr>
                <w:sz w:val="17"/>
                <w:szCs w:val="17"/>
                <w:color w:val="auto"/>
              </w:rPr>
            </w:pP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55,409</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received from Aileyou</w:t>
            </w:r>
          </w:p>
        </w:tc>
        <w:tc>
          <w:tcPr>
            <w:tcW w:w="1300" w:type="dxa"/>
            <w:vAlign w:val="bottom"/>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02"/>
        </w:trPr>
        <w:tc>
          <w:tcPr>
            <w:tcW w:w="8900" w:type="dxa"/>
            <w:vAlign w:val="bottom"/>
          </w:tcPr>
          <w:p>
            <w:pPr>
              <w:spacing w:after="0" w:line="202" w:lineRule="exact"/>
              <w:rPr>
                <w:sz w:val="20"/>
                <w:szCs w:val="20"/>
                <w:color w:val="auto"/>
              </w:rPr>
            </w:pPr>
            <w:r>
              <w:rPr>
                <w:rFonts w:ascii="Arial" w:cs="Arial" w:eastAsia="Arial" w:hAnsi="Arial"/>
                <w:sz w:val="18"/>
                <w:szCs w:val="18"/>
                <w:b w:val="1"/>
                <w:bCs w:val="1"/>
                <w:color w:val="auto"/>
              </w:rPr>
              <w:t>Interest income</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 from loans provided to related parties</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1,330</w:t>
            </w:r>
          </w:p>
        </w:tc>
        <w:tc>
          <w:tcPr>
            <w:tcW w:w="3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419"/>
        </w:trPr>
        <w:tc>
          <w:tcPr>
            <w:tcW w:w="8900" w:type="dxa"/>
            <w:vAlign w:val="bottom"/>
          </w:tcPr>
          <w:p>
            <w:pPr>
              <w:spacing w:after="0"/>
              <w:rPr>
                <w:sz w:val="20"/>
                <w:szCs w:val="20"/>
                <w:color w:val="auto"/>
              </w:rPr>
            </w:pPr>
            <w:r>
              <w:rPr>
                <w:rFonts w:ascii="Arial" w:cs="Arial" w:eastAsia="Arial" w:hAnsi="Arial"/>
                <w:sz w:val="18"/>
                <w:szCs w:val="18"/>
                <w:b w:val="1"/>
                <w:bCs w:val="1"/>
                <w:color w:val="auto"/>
              </w:rPr>
              <w:t>Amount due from related parties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Loan to Yuekun</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31,912</w:t>
            </w:r>
          </w:p>
        </w:tc>
        <w:tc>
          <w:tcPr>
            <w:tcW w:w="3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69,400</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Loan to Aileyou</w:t>
            </w:r>
          </w:p>
        </w:tc>
        <w:tc>
          <w:tcPr>
            <w:tcW w:w="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2,400</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Repayments from Yuekun</w:t>
            </w:r>
          </w:p>
        </w:tc>
        <w:tc>
          <w:tcPr>
            <w:tcW w:w="9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13,268</w:t>
            </w:r>
          </w:p>
        </w:tc>
        <w:tc>
          <w:tcPr>
            <w:tcW w:w="3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72,205</w:t>
            </w:r>
          </w:p>
        </w:tc>
        <w:tc>
          <w:tcPr>
            <w:tcW w:w="0" w:type="dxa"/>
            <w:vAlign w:val="bottom"/>
          </w:tcPr>
          <w:p>
            <w:pPr>
              <w:spacing w:after="0"/>
              <w:rPr>
                <w:sz w:val="1"/>
                <w:szCs w:val="1"/>
                <w:color w:val="auto"/>
              </w:rPr>
            </w:pPr>
          </w:p>
        </w:tc>
      </w:tr>
      <w:tr>
        <w:trPr>
          <w:trHeight w:val="217"/>
        </w:trPr>
        <w:tc>
          <w:tcPr>
            <w:tcW w:w="8900" w:type="dxa"/>
            <w:vAlign w:val="bottom"/>
          </w:tcPr>
          <w:p>
            <w:pPr>
              <w:spacing w:after="0"/>
              <w:rPr>
                <w:sz w:val="20"/>
                <w:szCs w:val="20"/>
                <w:color w:val="auto"/>
              </w:rPr>
            </w:pPr>
            <w:r>
              <w:rPr>
                <w:rFonts w:ascii="Arial" w:cs="Arial" w:eastAsia="Arial" w:hAnsi="Arial"/>
                <w:sz w:val="18"/>
                <w:szCs w:val="18"/>
                <w:color w:val="auto"/>
              </w:rPr>
              <w:t>Repayments from Aileyou</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2,548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8900" w:type="dxa"/>
            <w:vAlign w:val="bottom"/>
          </w:tcPr>
          <w:p>
            <w:pPr>
              <w:ind w:left="540"/>
              <w:spacing w:after="0"/>
              <w:rPr>
                <w:sz w:val="20"/>
                <w:szCs w:val="20"/>
                <w:color w:val="auto"/>
              </w:rPr>
            </w:pPr>
            <w:r>
              <w:rPr>
                <w:rFonts w:ascii="Arial" w:cs="Arial" w:eastAsia="Arial" w:hAnsi="Arial"/>
                <w:sz w:val="18"/>
                <w:szCs w:val="18"/>
                <w:color w:val="auto"/>
              </w:rPr>
              <w:t>As of December 31, 2020 and March 31, 2021, the amount due from/to related parties are as follows: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900" w:type="dxa"/>
            <w:vAlign w:val="bottom"/>
          </w:tcPr>
          <w:p>
            <w:pPr>
              <w:spacing w:after="0"/>
              <w:rPr>
                <w:sz w:val="24"/>
                <w:szCs w:val="24"/>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24"/>
                <w:szCs w:val="2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89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890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900" w:type="dxa"/>
            <w:vAlign w:val="bottom"/>
          </w:tcPr>
          <w:p>
            <w:pPr>
              <w:spacing w:after="0"/>
              <w:rPr>
                <w:sz w:val="13"/>
                <w:szCs w:val="13"/>
                <w:color w:val="auto"/>
              </w:rPr>
            </w:pPr>
          </w:p>
        </w:tc>
        <w:tc>
          <w:tcPr>
            <w:tcW w:w="960" w:type="dxa"/>
            <w:vAlign w:val="bottom"/>
            <w:tcBorders>
              <w:top w:val="single" w:sz="8" w:color="auto"/>
            </w:tcBorders>
            <w:gridSpan w:val="2"/>
          </w:tcPr>
          <w:p>
            <w:pPr>
              <w:ind w:left="320"/>
              <w:spacing w:after="0" w:line="155"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from JD Group (3)</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165,626</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151,038</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Due from Jinsong</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receivables from Jinsong</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45,661</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48,872</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Due from Yueqing</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Loans provided to Yueqing (1)</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9,500</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Due from Xichen Group</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3,500</w:t>
            </w: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from Yuekun</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Loans provided to Yuekun (1)</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24,115</w:t>
            </w: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21,310</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receivables from Yuekun</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26,668</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28,768</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Due from Aileyou</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Loans provided to Aileyou</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1,869</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Other receivables from Aileyou</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12,217</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30,237</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289,156</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295,094</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color w:val="auto"/>
              </w:rPr>
              <w:t>Due to JD Group</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0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subscription from JD Group (4)</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35,000</w:t>
            </w:r>
          </w:p>
        </w:tc>
        <w:tc>
          <w:tcPr>
            <w:tcW w:w="8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Other payables to JD Group (2)</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44,688</w:t>
            </w: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35,928</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to 5Y Capital</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ind w:left="360"/>
              <w:spacing w:after="0" w:line="202" w:lineRule="exact"/>
              <w:rPr>
                <w:sz w:val="20"/>
                <w:szCs w:val="20"/>
                <w:color w:val="auto"/>
              </w:rPr>
            </w:pPr>
            <w:r>
              <w:rPr>
                <w:rFonts w:ascii="Arial" w:cs="Arial" w:eastAsia="Arial" w:hAnsi="Arial"/>
                <w:sz w:val="18"/>
                <w:szCs w:val="18"/>
                <w:color w:val="auto"/>
              </w:rPr>
              <w:t>Convertible loan due to 5Y Capital (5)</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33,423</w:t>
            </w:r>
          </w:p>
        </w:tc>
        <w:tc>
          <w:tcPr>
            <w:tcW w:w="2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to Aileyou</w:t>
            </w:r>
          </w:p>
        </w:tc>
        <w:tc>
          <w:tcPr>
            <w:tcW w:w="13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1,384</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Due to Yuekun</w:t>
            </w:r>
          </w:p>
        </w:tc>
        <w:tc>
          <w:tcPr>
            <w:tcW w:w="13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118</w:t>
            </w:r>
          </w:p>
        </w:tc>
        <w:tc>
          <w:tcPr>
            <w:tcW w:w="8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Due to Yueyie</w:t>
            </w:r>
          </w:p>
        </w:tc>
        <w:tc>
          <w:tcPr>
            <w:tcW w:w="9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0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114,669</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71,046</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5320"/>
              <w:spacing w:after="0"/>
              <w:rPr>
                <w:sz w:val="20"/>
                <w:szCs w:val="20"/>
                <w:color w:val="auto"/>
              </w:rPr>
            </w:pPr>
            <w:r>
              <w:rPr>
                <w:rFonts w:ascii="Arial" w:cs="Arial" w:eastAsia="Arial" w:hAnsi="Arial"/>
                <w:sz w:val="18"/>
                <w:szCs w:val="18"/>
                <w:color w:val="auto"/>
              </w:rPr>
              <w:t>F-67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9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9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7715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8" w:lineRule="exact"/>
        <w:rPr>
          <w:sz w:val="20"/>
          <w:szCs w:val="20"/>
          <w:color w:val="auto"/>
        </w:rPr>
      </w:pPr>
    </w:p>
    <w:p>
      <w:pPr>
        <w:ind w:left="660" w:right="60" w:hanging="544"/>
        <w:spacing w:after="0" w:line="234" w:lineRule="auto"/>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 relation to the loans provided to Yueqing and Yuekun, the Group signed one year agreement and charged them with interest rate of 8% and 7% respectively. Loans to other related parties are interest free and due on demand. The Founder has provided guarantee on loans to Yuekun, and the loans were collateralized by his shareholdings in the Company. RMB63.3 million was collected from Yuekun in May 2021.</w:t>
      </w:r>
    </w:p>
    <w:p>
      <w:pPr>
        <w:spacing w:after="0" w:line="2"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Other payables to JD Group mainly includes channel commissions payable to JD Group.</w:t>
      </w:r>
    </w:p>
    <w:p>
      <w:pPr>
        <w:ind w:left="660" w:right="440" w:hanging="544"/>
        <w:spacing w:after="0" w:line="234" w:lineRule="auto"/>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Amount due from JD Group includes funds receivables from payment service providers of JD Group, and cash collected by JD Group from third party merchants on behalf of the Group.</w:t>
      </w:r>
    </w:p>
    <w:p>
      <w:pPr>
        <w:spacing w:after="0" w:line="1" w:lineRule="exact"/>
        <w:rPr>
          <w:rFonts w:ascii="Arial" w:cs="Arial" w:eastAsia="Arial" w:hAnsi="Arial"/>
          <w:sz w:val="18"/>
          <w:szCs w:val="18"/>
          <w:color w:val="auto"/>
        </w:rPr>
      </w:pPr>
    </w:p>
    <w:p>
      <w:pPr>
        <w:ind w:left="660" w:right="120" w:hanging="544"/>
        <w:spacing w:after="0" w:line="234" w:lineRule="auto"/>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amount represents RMB35,000 prepaid subscription from an entity of JD Group for Series E convertible redeemable preferred shares. The issuance of preferred shares is upon ODI approval, otherwise the amount will be refunded to the investor.</w:t>
      </w:r>
    </w:p>
    <w:p>
      <w:pPr>
        <w:spacing w:after="0" w:line="1" w:lineRule="exact"/>
        <w:rPr>
          <w:rFonts w:ascii="Arial" w:cs="Arial" w:eastAsia="Arial" w:hAnsi="Arial"/>
          <w:sz w:val="18"/>
          <w:szCs w:val="18"/>
          <w:color w:val="auto"/>
        </w:rPr>
      </w:pPr>
    </w:p>
    <w:p>
      <w:pPr>
        <w:ind w:left="660" w:right="540" w:hanging="544"/>
        <w:spacing w:after="0" w:line="246" w:lineRule="auto"/>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convertible loan was converted into Series C convertible redeemable preferred shares in February 2021 according to the contractual terms (see Note 7).</w:t>
      </w:r>
    </w:p>
    <w:p>
      <w:pPr>
        <w:spacing w:after="0" w:line="323" w:lineRule="exact"/>
        <w:rPr>
          <w:sz w:val="20"/>
          <w:szCs w:val="20"/>
          <w:color w:val="auto"/>
        </w:rPr>
      </w:pPr>
    </w:p>
    <w:p>
      <w:pPr>
        <w:ind w:left="660" w:right="7660" w:hanging="544"/>
        <w:spacing w:after="0" w:line="394" w:lineRule="auto"/>
        <w:tabs>
          <w:tab w:leader="none" w:pos="649"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u w:val="single" w:color="auto"/>
          <w:color w:val="auto"/>
        </w:rPr>
        <w:t>Operating lease commitments</w:t>
      </w:r>
    </w:p>
    <w:p>
      <w:pPr>
        <w:spacing w:after="0" w:line="1" w:lineRule="exact"/>
        <w:rPr>
          <w:rFonts w:ascii="Arial" w:cs="Arial" w:eastAsia="Arial" w:hAnsi="Arial"/>
          <w:sz w:val="17"/>
          <w:szCs w:val="17"/>
          <w:b w:val="1"/>
          <w:bCs w:val="1"/>
          <w:color w:val="auto"/>
        </w:rPr>
      </w:pP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The Group has leased office and store premises under operating lease agreements for the periods from 2021 to 2024.</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Rental expenses amounted to RMB23,546 and RMB20,905 for the three months ended March 31, 2020 and 2021, respectively.</w:t>
      </w:r>
    </w:p>
    <w:p>
      <w:pPr>
        <w:ind w:left="120"/>
        <w:spacing w:after="0"/>
        <w:rPr>
          <w:sz w:val="20"/>
          <w:szCs w:val="20"/>
          <w:color w:val="auto"/>
        </w:rPr>
      </w:pPr>
      <w:r>
        <w:rPr>
          <w:rFonts w:ascii="Arial" w:cs="Arial" w:eastAsia="Arial" w:hAnsi="Arial"/>
          <w:sz w:val="18"/>
          <w:szCs w:val="18"/>
          <w:color w:val="auto"/>
        </w:rPr>
        <w:t>Rental expenses are charged to the condensed consolidated statements of operations and comprehensive loss when incurred.</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 under non-cancelable operating lease agreements are as follow:</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w:t>
            </w:r>
          </w:p>
        </w:tc>
        <w:tc>
          <w:tcPr>
            <w:tcW w:w="90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As of March 31,</w:t>
            </w:r>
          </w:p>
        </w:tc>
        <w:tc>
          <w:tcPr>
            <w:tcW w:w="0" w:type="dxa"/>
            <w:vAlign w:val="bottom"/>
          </w:tcPr>
          <w:p>
            <w:pPr>
              <w:spacing w:after="0"/>
              <w:rPr>
                <w:sz w:val="1"/>
                <w:szCs w:val="1"/>
                <w:color w:val="auto"/>
              </w:rPr>
            </w:pPr>
          </w:p>
        </w:tc>
      </w:tr>
      <w:tr>
        <w:trPr>
          <w:trHeight w:val="169"/>
        </w:trPr>
        <w:tc>
          <w:tcPr>
            <w:tcW w:w="900" w:type="dxa"/>
            <w:vAlign w:val="bottom"/>
            <w:vMerge w:val="continue"/>
          </w:tcPr>
          <w:p>
            <w:pPr>
              <w:spacing w:after="0"/>
              <w:rPr>
                <w:sz w:val="14"/>
                <w:szCs w:val="14"/>
                <w:color w:val="auto"/>
              </w:rPr>
            </w:pPr>
          </w:p>
        </w:tc>
        <w:tc>
          <w:tcPr>
            <w:tcW w:w="1006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tcBorders>
              <w:top w:val="single" w:sz="8" w:color="auto"/>
            </w:tcBorders>
          </w:tcPr>
          <w:p>
            <w:pPr>
              <w:spacing w:after="0"/>
              <w:rPr>
                <w:sz w:val="14"/>
                <w:szCs w:val="14"/>
                <w:color w:val="auto"/>
              </w:rPr>
            </w:pPr>
          </w:p>
        </w:tc>
        <w:tc>
          <w:tcPr>
            <w:tcW w:w="9000" w:type="dxa"/>
            <w:vAlign w:val="bottom"/>
          </w:tcPr>
          <w:p>
            <w:pPr>
              <w:spacing w:after="0"/>
              <w:rPr>
                <w:sz w:val="14"/>
                <w:szCs w:val="14"/>
                <w:color w:val="auto"/>
              </w:rPr>
            </w:pPr>
          </w:p>
        </w:tc>
        <w:tc>
          <w:tcPr>
            <w:tcW w:w="1060" w:type="dxa"/>
            <w:vAlign w:val="bottom"/>
            <w:tcBorders>
              <w:top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10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45,004</w:t>
            </w:r>
          </w:p>
        </w:tc>
        <w:tc>
          <w:tcPr>
            <w:tcW w:w="0" w:type="dxa"/>
            <w:vAlign w:val="bottom"/>
          </w:tcPr>
          <w:p>
            <w:pPr>
              <w:spacing w:after="0"/>
              <w:rPr>
                <w:sz w:val="1"/>
                <w:szCs w:val="1"/>
                <w:color w:val="auto"/>
              </w:rPr>
            </w:pP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1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03"/>
        </w:trPr>
        <w:tc>
          <w:tcPr>
            <w:tcW w:w="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9,285</w:t>
            </w:r>
          </w:p>
        </w:tc>
        <w:tc>
          <w:tcPr>
            <w:tcW w:w="0" w:type="dxa"/>
            <w:vAlign w:val="bottom"/>
          </w:tcPr>
          <w:p>
            <w:pPr>
              <w:spacing w:after="0"/>
              <w:rPr>
                <w:sz w:val="1"/>
                <w:szCs w:val="1"/>
                <w:color w:val="auto"/>
              </w:rPr>
            </w:pPr>
          </w:p>
        </w:tc>
      </w:tr>
      <w:tr>
        <w:trPr>
          <w:trHeight w:val="210"/>
        </w:trPr>
        <w:tc>
          <w:tcPr>
            <w:tcW w:w="9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9000" w:type="dxa"/>
            <w:vAlign w:val="bottom"/>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0" w:type="dxa"/>
            <w:vAlign w:val="bottom"/>
            <w:shd w:val="clear" w:color="auto" w:fill="CCEEFF"/>
          </w:tcPr>
          <w:p>
            <w:pPr>
              <w:spacing w:after="0"/>
              <w:rPr>
                <w:sz w:val="17"/>
                <w:szCs w:val="17"/>
                <w:color w:val="auto"/>
              </w:rPr>
            </w:pPr>
          </w:p>
        </w:tc>
        <w:tc>
          <w:tcPr>
            <w:tcW w:w="101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72,837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hanging="544"/>
        <w:spacing w:after="0"/>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Represents the nine months ended December 31, 2021.</w:t>
      </w:r>
    </w:p>
    <w:p>
      <w:pPr>
        <w:spacing w:after="0" w:line="211" w:lineRule="exact"/>
        <w:rPr>
          <w:rFonts w:ascii="Arial" w:cs="Arial" w:eastAsia="Arial" w:hAnsi="Arial"/>
          <w:sz w:val="18"/>
          <w:szCs w:val="18"/>
          <w:color w:val="auto"/>
        </w:rPr>
      </w:pPr>
    </w:p>
    <w:p>
      <w:pPr>
        <w:ind w:left="660" w:right="4580"/>
        <w:spacing w:after="0" w:line="485" w:lineRule="auto"/>
        <w:rPr>
          <w:rFonts w:ascii="Arial" w:cs="Arial" w:eastAsia="Arial" w:hAnsi="Arial"/>
          <w:sz w:val="18"/>
          <w:szCs w:val="18"/>
          <w:color w:val="auto"/>
        </w:rPr>
      </w:pPr>
      <w:r>
        <w:rPr>
          <w:rFonts w:ascii="Arial" w:cs="Arial" w:eastAsia="Arial" w:hAnsi="Arial"/>
          <w:sz w:val="18"/>
          <w:szCs w:val="18"/>
          <w:color w:val="auto"/>
        </w:rPr>
        <w:t xml:space="preserve">The Group has no future minimum lease payments in 2025 and thereafter. </w:t>
      </w:r>
      <w:r>
        <w:rPr>
          <w:rFonts w:ascii="Arial" w:cs="Arial" w:eastAsia="Arial" w:hAnsi="Arial"/>
          <w:sz w:val="18"/>
          <w:szCs w:val="18"/>
          <w:u w:val="single" w:color="auto"/>
          <w:color w:val="auto"/>
        </w:rPr>
        <w:t>Contingencies</w:t>
      </w:r>
    </w:p>
    <w:p>
      <w:pPr>
        <w:ind w:left="120" w:right="220" w:firstLine="551"/>
        <w:spacing w:after="0"/>
        <w:rPr>
          <w:sz w:val="20"/>
          <w:szCs w:val="20"/>
          <w:color w:val="auto"/>
        </w:rPr>
      </w:pPr>
      <w:r>
        <w:rPr>
          <w:rFonts w:ascii="Arial" w:cs="Arial" w:eastAsia="Arial" w:hAnsi="Arial"/>
          <w:sz w:val="18"/>
          <w:szCs w:val="18"/>
          <w:color w:val="auto"/>
        </w:rPr>
        <w:t>The Group is subject to periodic legal or administrative proceedings in the ordinary course of business. The Group does not have any pending legal or administrative proceeding to which the Group is a party that will have a material effect on its business or financial condition.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AIHUISHOU INTERNATIONAL CO. LTD.</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UNAUDITED CONDENSED CONSOLIDATED FINANCIAL STATEMENTS—(Continued)</w:t>
      </w:r>
    </w:p>
    <w:p>
      <w:pPr>
        <w:jc w:val="center"/>
        <w:ind w:right="-179"/>
        <w:spacing w:after="0" w:line="234" w:lineRule="auto"/>
        <w:rPr>
          <w:sz w:val="20"/>
          <w:szCs w:val="20"/>
          <w:color w:val="auto"/>
        </w:rPr>
      </w:pPr>
      <w:r>
        <w:rPr>
          <w:rFonts w:ascii="Arial" w:cs="Arial" w:eastAsia="Arial" w:hAnsi="Arial"/>
          <w:sz w:val="18"/>
          <w:szCs w:val="18"/>
          <w:b w:val="1"/>
          <w:bCs w:val="1"/>
          <w:color w:val="auto"/>
        </w:rPr>
        <w:t>AS OF AND FOR THE THREE MONTHS ENDED MARCH 31, 2021</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for share, per share data or otherwise noted)</w:t>
      </w:r>
    </w:p>
    <w:p>
      <w:pPr>
        <w:spacing w:after="0" w:line="217" w:lineRule="exact"/>
        <w:rPr>
          <w:sz w:val="20"/>
          <w:szCs w:val="20"/>
          <w:color w:val="auto"/>
        </w:rPr>
      </w:pPr>
    </w:p>
    <w:p>
      <w:pPr>
        <w:ind w:left="660" w:hanging="544"/>
        <w:spacing w:after="0"/>
        <w:tabs>
          <w:tab w:leader="none" w:pos="6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120" w:right="80" w:firstLine="551"/>
        <w:spacing w:after="0" w:line="246" w:lineRule="auto"/>
        <w:rPr>
          <w:sz w:val="20"/>
          <w:szCs w:val="20"/>
          <w:color w:val="auto"/>
        </w:rPr>
      </w:pPr>
      <w:r>
        <w:rPr>
          <w:rFonts w:ascii="Arial" w:cs="Arial" w:eastAsia="Arial" w:hAnsi="Arial"/>
          <w:sz w:val="18"/>
          <w:szCs w:val="18"/>
          <w:color w:val="auto"/>
        </w:rPr>
        <w:t>The Group has evaluated subsequent events through May 28, 2021, which is the date when the condensed consolidated financial statements were issued.</w:t>
      </w:r>
    </w:p>
    <w:p>
      <w:pPr>
        <w:spacing w:after="0" w:line="197" w:lineRule="exact"/>
        <w:rPr>
          <w:sz w:val="20"/>
          <w:szCs w:val="20"/>
          <w:color w:val="auto"/>
        </w:rPr>
      </w:pPr>
    </w:p>
    <w:p>
      <w:pPr>
        <w:ind w:left="120" w:right="460" w:firstLine="551"/>
        <w:spacing w:after="0" w:line="246" w:lineRule="auto"/>
        <w:rPr>
          <w:sz w:val="20"/>
          <w:szCs w:val="20"/>
          <w:color w:val="auto"/>
        </w:rPr>
      </w:pPr>
      <w:r>
        <w:rPr>
          <w:rFonts w:ascii="Arial" w:cs="Arial" w:eastAsia="Arial" w:hAnsi="Arial"/>
          <w:sz w:val="18"/>
          <w:szCs w:val="18"/>
          <w:color w:val="auto"/>
        </w:rPr>
        <w:t>In April 2021, the Company granted a total of 2,964,091 restricted share units that were immediately vested upon grant to the Founder of the Company and is in process of estimating the fair value with assistance of an independent third party valuer.</w:t>
      </w:r>
    </w:p>
    <w:p>
      <w:pPr>
        <w:spacing w:after="0" w:line="197" w:lineRule="exact"/>
        <w:rPr>
          <w:sz w:val="20"/>
          <w:szCs w:val="20"/>
          <w:color w:val="auto"/>
        </w:rPr>
      </w:pPr>
    </w:p>
    <w:p>
      <w:pPr>
        <w:ind w:left="120" w:right="40" w:firstLine="551"/>
        <w:spacing w:after="0" w:line="246" w:lineRule="auto"/>
        <w:rPr>
          <w:sz w:val="20"/>
          <w:szCs w:val="20"/>
          <w:color w:val="auto"/>
        </w:rPr>
      </w:pPr>
      <w:r>
        <w:rPr>
          <w:rFonts w:ascii="Arial" w:cs="Arial" w:eastAsia="Arial" w:hAnsi="Arial"/>
          <w:sz w:val="18"/>
          <w:szCs w:val="18"/>
          <w:color w:val="auto"/>
        </w:rPr>
        <w:t>In April and May 2021, RMB90,000 of the 2016 Notes were converted into 5,074,605 shares of Series C-3 convertible redeemable preferred shares according to the contractual conversion terms.</w:t>
      </w:r>
    </w:p>
    <w:p>
      <w:pPr>
        <w:spacing w:after="0" w:line="19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On May 25, 2021, the Group issued 1,493,864 Series E convertible redeemable preferred shares at consideration of RMB185,000, of which RMB135,000 was received in 2020 and recorded in Accrued expenses and other current liabilities and amount due to related parties as prepaid subscription as of March 31, 2021.</w:t>
      </w:r>
    </w:p>
    <w:p>
      <w:pPr>
        <w:spacing w:after="0" w:line="203"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 April and May 2021, the Group issued a total of 9,777,383 Series F convertible redeemable preferred shares to certain investors (‘Series F investors’) for an aggregate consideration of US dollar equivalent of RMB1,234,537. Among which, 2,572,995 Series F preferred shares were issued to Cosmic Blue Investments Limited for a consideration of US dollar equivalent of RMB180,149 in cash and RMB141,546 in form of business resources. The key terms of Series F convertible redeemable preferred shares are the same as those of Series E other than the seniority in redemption and liquidation. As part of the Series F equity financing, the Series F investors also directly purchased 2,255,380 shares of Series C-3 convertible redeemable preferred shares from the Series C-3 shareholders and 1,604,113 ordinary shares from the Founder, respectively. The transfer of these shares was realized through a repurchase of the shares by the Group followed by a reissuance of the same shares to the Series F investors.</w:t>
      </w:r>
    </w:p>
    <w:p>
      <w:pPr>
        <w:spacing w:after="0" w:line="208"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connection with the Series F equity financing, the Group also issued to a third-party financial advisor warrants to purchase 153,570 shares of ordinary shares at US$ 2.65 per share during a four-year period. The warrants can be exercised at any time for cash, or on a net cashless basis if the fair value of ordinary shares is greater than the exercise price. The warrants will be automatically exercised on a net cashless basis on the expiration date if the fair value of ordinary shares is greater than the exercise price.</w:t>
      </w:r>
    </w:p>
    <w:p>
      <w:pPr>
        <w:spacing w:after="0" w:line="205" w:lineRule="exact"/>
        <w:rPr>
          <w:sz w:val="20"/>
          <w:szCs w:val="20"/>
          <w:color w:val="auto"/>
        </w:rPr>
      </w:pPr>
    </w:p>
    <w:p>
      <w:pPr>
        <w:ind w:left="120" w:right="260" w:firstLine="551"/>
        <w:spacing w:after="0" w:line="246" w:lineRule="auto"/>
        <w:rPr>
          <w:sz w:val="20"/>
          <w:szCs w:val="20"/>
          <w:color w:val="auto"/>
        </w:rPr>
      </w:pPr>
      <w:r>
        <w:rPr>
          <w:rFonts w:ascii="Arial" w:cs="Arial" w:eastAsia="Arial" w:hAnsi="Arial"/>
          <w:sz w:val="18"/>
          <w:szCs w:val="18"/>
          <w:color w:val="auto"/>
        </w:rPr>
        <w:t>On May 12, 2021, the Group issued 56,041 Series E convertible redeemable preferred shares to certain third party investor at a purchase price of US$1,000,000.</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060"/>
          </w:cols>
          <w:pgMar w:left="320" w:top="459" w:right="51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6. Indemnification of Directors and Officers.</w:t>
      </w:r>
    </w:p>
    <w:p>
      <w:pPr>
        <w:spacing w:after="0" w:line="126" w:lineRule="exact"/>
        <w:rPr>
          <w:sz w:val="20"/>
          <w:szCs w:val="20"/>
          <w:color w:val="auto"/>
        </w:rPr>
      </w:pPr>
    </w:p>
    <w:p>
      <w:pPr>
        <w:jc w:val="both"/>
        <w:ind w:left="120" w:firstLine="551"/>
        <w:spacing w:after="0"/>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203" w:lineRule="exact"/>
        <w:rPr>
          <w:sz w:val="20"/>
          <w:szCs w:val="20"/>
          <w:color w:val="auto"/>
        </w:rPr>
      </w:pPr>
    </w:p>
    <w:p>
      <w:pPr>
        <w:ind w:left="120" w:right="40" w:firstLine="551"/>
        <w:spacing w:after="0" w:line="236" w:lineRule="auto"/>
        <w:rPr>
          <w:sz w:val="20"/>
          <w:szCs w:val="20"/>
          <w:color w:val="auto"/>
        </w:rPr>
      </w:pPr>
      <w:r>
        <w:rPr>
          <w:rFonts w:ascii="Arial" w:cs="Arial" w:eastAsia="Arial" w:hAnsi="Arial"/>
          <w:sz w:val="18"/>
          <w:szCs w:val="18"/>
          <w:color w:val="auto"/>
        </w:rPr>
        <w:t>The post-offering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208"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Pursuant to the indemnification agreements, the form of which is filed as Exhibit 10.2 to this registration statement, we agree to indemnify our directors and executive officers against certain liabilities and expenses incurred by such persons in connection with claims made by reason of their being such a director or officer.</w:t>
      </w:r>
    </w:p>
    <w:p>
      <w:pPr>
        <w:spacing w:after="0" w:line="203" w:lineRule="exact"/>
        <w:rPr>
          <w:sz w:val="20"/>
          <w:szCs w:val="20"/>
          <w:color w:val="auto"/>
        </w:rPr>
      </w:pPr>
    </w:p>
    <w:p>
      <w:pPr>
        <w:ind w:left="120" w:right="1020" w:firstLine="551"/>
        <w:spacing w:after="0" w:line="246"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indemnification for us and our officers and directors for certain liabilities.</w:t>
      </w:r>
    </w:p>
    <w:p>
      <w:pPr>
        <w:spacing w:after="0" w:line="197" w:lineRule="exact"/>
        <w:rPr>
          <w:sz w:val="20"/>
          <w:szCs w:val="20"/>
          <w:color w:val="auto"/>
        </w:rPr>
      </w:pPr>
    </w:p>
    <w:p>
      <w:pPr>
        <w:jc w:val="both"/>
        <w:ind w:left="120" w:right="4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7. Recent Sales of Unregistered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past three years, we have issued the following securities (including options to acquire our ordinary shares and restricted</w:t>
      </w:r>
    </w:p>
    <w:p>
      <w:pPr>
        <w:ind w:left="120"/>
        <w:spacing w:after="0" w:line="234" w:lineRule="auto"/>
        <w:rPr>
          <w:sz w:val="20"/>
          <w:szCs w:val="20"/>
          <w:color w:val="auto"/>
        </w:rPr>
      </w:pPr>
      <w:r>
        <w:rPr>
          <w:rFonts w:ascii="Arial" w:cs="Arial" w:eastAsia="Arial" w:hAnsi="Arial"/>
          <w:sz w:val="18"/>
          <w:szCs w:val="18"/>
          <w:color w:val="auto"/>
        </w:rPr>
        <w:t>share units). We believe that each of the following issuances was exempt from registration under the Securities Act pursuant to</w:t>
      </w:r>
    </w:p>
    <w:p>
      <w:pPr>
        <w:ind w:left="120"/>
        <w:spacing w:after="0" w:line="235" w:lineRule="auto"/>
        <w:rPr>
          <w:sz w:val="20"/>
          <w:szCs w:val="20"/>
          <w:color w:val="auto"/>
        </w:rPr>
      </w:pPr>
      <w:r>
        <w:rPr>
          <w:rFonts w:ascii="Arial" w:cs="Arial" w:eastAsia="Arial" w:hAnsi="Arial"/>
          <w:sz w:val="18"/>
          <w:szCs w:val="18"/>
          <w:color w:val="auto"/>
        </w:rPr>
        <w:t>Section 4(2) of the Securities Act regarding transactions not involving a public offering or in reliance on Regulation S under the Securities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 regarding sales by an issuer in offshore transactions. No underwriters were involved in these issuances of securities.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Securities/Purchaser</w:t>
            </w:r>
          </w:p>
        </w:tc>
        <w:tc>
          <w:tcPr>
            <w:tcW w:w="3840" w:type="dxa"/>
            <w:vAlign w:val="bottom"/>
            <w:vMerge w:val="restart"/>
          </w:tcPr>
          <w:p>
            <w:pPr>
              <w:spacing w:after="0"/>
              <w:rPr>
                <w:sz w:val="14"/>
                <w:szCs w:val="14"/>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Date of</w:t>
            </w: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 of</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Issuance</w:t>
            </w: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Securities</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Series C-3 preferred shares</w:t>
            </w:r>
          </w:p>
        </w:tc>
        <w:tc>
          <w:tcPr>
            <w:tcW w:w="19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Euro Eco Limited</w:t>
            </w:r>
          </w:p>
        </w:tc>
        <w:tc>
          <w:tcPr>
            <w:tcW w:w="22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9"/>
              </w:rPr>
              <w:t>June 26, 2018</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1,884,512</w:t>
            </w:r>
          </w:p>
        </w:tc>
        <w:tc>
          <w:tcPr>
            <w:tcW w:w="4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US$5,000,000</w:t>
            </w:r>
          </w:p>
        </w:tc>
        <w:tc>
          <w:tcPr>
            <w:tcW w:w="0" w:type="dxa"/>
            <w:vAlign w:val="bottom"/>
          </w:tcPr>
          <w:p>
            <w:pPr>
              <w:spacing w:after="0"/>
              <w:rPr>
                <w:sz w:val="1"/>
                <w:szCs w:val="1"/>
                <w:color w:val="auto"/>
              </w:rPr>
            </w:pPr>
          </w:p>
        </w:tc>
      </w:tr>
      <w:tr>
        <w:trPr>
          <w:trHeight w:val="202"/>
        </w:trPr>
        <w:tc>
          <w:tcPr>
            <w:tcW w:w="5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YYT Capital Inc.</w:t>
            </w:r>
          </w:p>
        </w:tc>
        <w:tc>
          <w:tcPr>
            <w:tcW w:w="2280" w:type="dxa"/>
            <w:vAlign w:val="bottom"/>
            <w:gridSpan w:val="2"/>
            <w:shd w:val="clear" w:color="auto" w:fill="CCEEFF"/>
          </w:tcPr>
          <w:p>
            <w:pPr>
              <w:jc w:val="center"/>
              <w:ind w:right="320"/>
              <w:spacing w:after="0" w:line="201" w:lineRule="exact"/>
              <w:rPr>
                <w:sz w:val="20"/>
                <w:szCs w:val="20"/>
                <w:color w:val="auto"/>
              </w:rPr>
            </w:pPr>
            <w:r>
              <w:rPr>
                <w:rFonts w:ascii="Arial" w:cs="Arial" w:eastAsia="Arial" w:hAnsi="Arial"/>
                <w:sz w:val="18"/>
                <w:szCs w:val="18"/>
                <w:color w:val="auto"/>
                <w:w w:val="99"/>
              </w:rPr>
              <w:t>December 7, 2018</w:t>
            </w: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8"/>
              </w:rPr>
              <w:t>563,845</w:t>
            </w:r>
          </w:p>
        </w:tc>
        <w:tc>
          <w:tcPr>
            <w:tcW w:w="4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RMB10,000,000</w:t>
            </w:r>
          </w:p>
        </w:tc>
        <w:tc>
          <w:tcPr>
            <w:tcW w:w="0" w:type="dxa"/>
            <w:vAlign w:val="bottom"/>
          </w:tcPr>
          <w:p>
            <w:pPr>
              <w:spacing w:after="0"/>
              <w:rPr>
                <w:sz w:val="1"/>
                <w:szCs w:val="1"/>
                <w:color w:val="auto"/>
              </w:rPr>
            </w:pPr>
          </w:p>
        </w:tc>
      </w:tr>
      <w:tr>
        <w:trPr>
          <w:trHeight w:val="202"/>
        </w:trPr>
        <w:tc>
          <w:tcPr>
            <w:tcW w:w="5280" w:type="dxa"/>
            <w:vAlign w:val="bottom"/>
            <w:gridSpan w:val="2"/>
          </w:tcPr>
          <w:p>
            <w:pPr>
              <w:spacing w:after="0" w:line="201" w:lineRule="exact"/>
              <w:rPr>
                <w:sz w:val="20"/>
                <w:szCs w:val="20"/>
                <w:color w:val="auto"/>
              </w:rPr>
            </w:pPr>
            <w:r>
              <w:rPr>
                <w:rFonts w:ascii="Arial" w:cs="Arial" w:eastAsia="Arial" w:hAnsi="Arial"/>
                <w:sz w:val="18"/>
                <w:szCs w:val="18"/>
                <w:color w:val="auto"/>
              </w:rPr>
              <w:t>Qianhai Ark (Cayman) Investment Co. Limited</w:t>
            </w:r>
          </w:p>
        </w:tc>
        <w:tc>
          <w:tcPr>
            <w:tcW w:w="228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9"/>
              </w:rPr>
              <w:t>December 7, 2018</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9"/>
              </w:rPr>
              <w:t>1,691,535</w:t>
            </w:r>
          </w:p>
        </w:tc>
        <w:tc>
          <w:tcPr>
            <w:tcW w:w="40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RMB30,000,000</w:t>
            </w:r>
          </w:p>
        </w:tc>
        <w:tc>
          <w:tcPr>
            <w:tcW w:w="0" w:type="dxa"/>
            <w:vAlign w:val="bottom"/>
          </w:tcPr>
          <w:p>
            <w:pPr>
              <w:spacing w:after="0"/>
              <w:rPr>
                <w:sz w:val="1"/>
                <w:szCs w:val="1"/>
                <w:color w:val="auto"/>
              </w:rPr>
            </w:pPr>
          </w:p>
        </w:tc>
      </w:tr>
      <w:tr>
        <w:trPr>
          <w:trHeight w:val="202"/>
        </w:trPr>
        <w:tc>
          <w:tcPr>
            <w:tcW w:w="5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JD.com Development Limited</w:t>
            </w:r>
          </w:p>
        </w:tc>
        <w:tc>
          <w:tcPr>
            <w:tcW w:w="2280" w:type="dxa"/>
            <w:vAlign w:val="bottom"/>
            <w:gridSpan w:val="2"/>
            <w:shd w:val="clear" w:color="auto" w:fill="CCEEFF"/>
          </w:tcPr>
          <w:p>
            <w:pPr>
              <w:jc w:val="center"/>
              <w:ind w:right="320"/>
              <w:spacing w:after="0" w:line="201" w:lineRule="exact"/>
              <w:rPr>
                <w:sz w:val="20"/>
                <w:szCs w:val="20"/>
                <w:color w:val="auto"/>
              </w:rPr>
            </w:pPr>
            <w:r>
              <w:rPr>
                <w:rFonts w:ascii="Arial" w:cs="Arial" w:eastAsia="Arial" w:hAnsi="Arial"/>
                <w:sz w:val="18"/>
                <w:szCs w:val="18"/>
                <w:color w:val="auto"/>
                <w:w w:val="99"/>
              </w:rPr>
              <w:t>December 7, 2018</w:t>
            </w: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5,564,491</w:t>
            </w:r>
          </w:p>
        </w:tc>
        <w:tc>
          <w:tcPr>
            <w:tcW w:w="4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RMB98,688,292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Securities/Purchaser</w:t>
            </w:r>
          </w:p>
        </w:tc>
        <w:tc>
          <w:tcPr>
            <w:tcW w:w="3720" w:type="dxa"/>
            <w:vAlign w:val="bottom"/>
            <w:vMerge w:val="restart"/>
          </w:tcPr>
          <w:p>
            <w:pPr>
              <w:spacing w:after="0"/>
              <w:rPr>
                <w:sz w:val="14"/>
                <w:szCs w:val="14"/>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Date of</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 of</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2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Issuance</w:t>
            </w: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Securities</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Shanghai Chenxi Venture Capital Center (Limited</w:t>
            </w:r>
          </w:p>
        </w:tc>
        <w:tc>
          <w:tcPr>
            <w:tcW w:w="22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February 8, 2021</w:t>
            </w: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1,884,511</w:t>
            </w:r>
          </w:p>
        </w:tc>
        <w:tc>
          <w:tcPr>
            <w:tcW w:w="2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2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RMB33,422,500</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Shenzhen Tiantu Xingli Investment Enterprise (Limited</w:t>
            </w:r>
          </w:p>
        </w:tc>
        <w:tc>
          <w:tcPr>
            <w:tcW w:w="24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rPr>
              <w:t>February 8, 2021</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3,383,070</w:t>
            </w:r>
          </w:p>
        </w:tc>
        <w:tc>
          <w:tcPr>
            <w:tcW w:w="22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Partnership)</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RMB60,000,000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Shanghai Jinglin Jinghui Equity Investment Center (Limited</w:t>
            </w:r>
          </w:p>
        </w:tc>
        <w:tc>
          <w:tcPr>
            <w:tcW w:w="24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rPr>
              <w:t>February 8, 2021</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563,845</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RMB10,000,000</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Qianhai Fund of Fund Equity Investment (Shenzhen) Co., Ltd.</w:t>
            </w:r>
          </w:p>
        </w:tc>
        <w:tc>
          <w:tcPr>
            <w:tcW w:w="24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rPr>
              <w:t>February 8, 2021</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1,262,446</w:t>
            </w:r>
          </w:p>
        </w:tc>
        <w:tc>
          <w:tcPr>
            <w:tcW w:w="22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RMB22,389,948</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Design Time Limited</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8"/>
              </w:rPr>
              <w:t>May 5, 2021</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225,538</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US$3,506,233</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Pluto Connection Limited</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April 28, 2021</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563,845</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US$8,765,581</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YIHENG CAPITAL PARTNERS, L.P.</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April 28, 2021</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225,538</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US$3,506,233</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Tiger Pacific Master Fund LP</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April 28, 2021</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225,538</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US$3,506,233</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Tian Zhan Investment Limited</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May 12, 2021</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169,153</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US$2,629,674</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Being Capital Fund I LP</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April 30, 2021</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338,307</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US$5,259,349</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JD.com Development Limited</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April 30, 2021</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225,538</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US$3,506,233</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INTERNET FUND IV PTE. LTD.</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April 30, 2021</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281,923</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US$4,382,791</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Shou Bainian</w:t>
            </w:r>
          </w:p>
        </w:tc>
        <w:tc>
          <w:tcPr>
            <w:tcW w:w="244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9"/>
              </w:rPr>
              <w:t>April 28, 2021</w:t>
            </w:r>
          </w:p>
        </w:tc>
        <w:tc>
          <w:tcPr>
            <w:tcW w:w="12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2,255,380</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RMB40,000,000</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Shanghai Liange Enterprise Management Partnership</w:t>
            </w:r>
          </w:p>
        </w:tc>
        <w:tc>
          <w:tcPr>
            <w:tcW w:w="24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rPr>
              <w:t>May 25, 2021</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2,819,225</w:t>
            </w:r>
          </w:p>
        </w:tc>
        <w:tc>
          <w:tcPr>
            <w:tcW w:w="22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516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(Limited Partnership)</w:t>
            </w: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jc w:val="center"/>
              <w:spacing w:after="0" w:line="203" w:lineRule="exact"/>
              <w:rPr>
                <w:sz w:val="20"/>
                <w:szCs w:val="20"/>
                <w:color w:val="auto"/>
              </w:rPr>
            </w:pPr>
            <w:r>
              <w:rPr>
                <w:rFonts w:ascii="Arial" w:cs="Arial" w:eastAsia="Arial" w:hAnsi="Arial"/>
                <w:sz w:val="18"/>
                <w:szCs w:val="18"/>
                <w:color w:val="auto"/>
                <w:w w:val="99"/>
              </w:rPr>
              <w:t>RMB50,000,000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Series D-1 preferred shares</w:t>
            </w: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JD.com Development Limited</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July 5, 2018</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2,115,755</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US$22,917,594</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Series D-2 preferred shares</w:t>
            </w: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Internet Fund IV Pte. Ltd.</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rPr>
              <w:t>July 5, 2018</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9"/>
              </w:rPr>
              <w:t>7,952,405</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US$101,340,522</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Series E preferred shares</w:t>
            </w: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Generation Mu HK Investment Limited</w:t>
            </w:r>
          </w:p>
        </w:tc>
        <w:tc>
          <w:tcPr>
            <w:tcW w:w="244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June 3, 2019</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560,410</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US$10,000,000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Internet Fund IV Pte. Ltd.</w:t>
            </w:r>
          </w:p>
        </w:tc>
        <w:tc>
          <w:tcPr>
            <w:tcW w:w="244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June 3, 2019</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560,410</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US$10,000,000</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JD.com Development Limited</w:t>
            </w:r>
          </w:p>
        </w:tc>
        <w:tc>
          <w:tcPr>
            <w:tcW w:w="244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9"/>
              </w:rPr>
              <w:t>June 3, 2019</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w w:val="99"/>
              </w:rPr>
              <w:t>27,500,098</w:t>
            </w:r>
          </w:p>
        </w:tc>
        <w:tc>
          <w:tcPr>
            <w:tcW w:w="2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US$20,114,688,</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ind w:left="180"/>
              <w:spacing w:after="0" w:line="202" w:lineRule="exact"/>
              <w:rPr>
                <w:sz w:val="20"/>
                <w:szCs w:val="20"/>
                <w:color w:val="auto"/>
              </w:rPr>
            </w:pPr>
            <w:r>
              <w:rPr>
                <w:rFonts w:ascii="Arial" w:cs="Arial" w:eastAsia="Arial" w:hAnsi="Arial"/>
                <w:sz w:val="18"/>
                <w:szCs w:val="18"/>
                <w:color w:val="auto"/>
              </w:rPr>
              <w:t>JD Group’s Paipai</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ind w:left="180"/>
              <w:spacing w:after="0" w:line="202" w:lineRule="exact"/>
              <w:rPr>
                <w:sz w:val="20"/>
                <w:szCs w:val="20"/>
                <w:color w:val="auto"/>
              </w:rPr>
            </w:pPr>
            <w:r>
              <w:rPr>
                <w:rFonts w:ascii="Arial" w:cs="Arial" w:eastAsia="Arial" w:hAnsi="Arial"/>
                <w:sz w:val="18"/>
                <w:szCs w:val="18"/>
                <w:color w:val="auto"/>
                <w:w w:val="99"/>
              </w:rPr>
              <w:t>secondhand business,</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ind w:left="180"/>
              <w:spacing w:after="0" w:line="202" w:lineRule="exact"/>
              <w:rPr>
                <w:sz w:val="20"/>
                <w:szCs w:val="20"/>
                <w:color w:val="auto"/>
              </w:rPr>
            </w:pPr>
            <w:r>
              <w:rPr>
                <w:rFonts w:ascii="Arial" w:cs="Arial" w:eastAsia="Arial" w:hAnsi="Arial"/>
                <w:sz w:val="18"/>
                <w:szCs w:val="18"/>
                <w:color w:val="auto"/>
              </w:rPr>
              <w:t>and certain exclusive</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ind w:left="180"/>
              <w:spacing w:after="0" w:line="203" w:lineRule="exact"/>
              <w:rPr>
                <w:sz w:val="20"/>
                <w:szCs w:val="20"/>
                <w:color w:val="auto"/>
              </w:rPr>
            </w:pPr>
            <w:r>
              <w:rPr>
                <w:rFonts w:ascii="Arial" w:cs="Arial" w:eastAsia="Arial" w:hAnsi="Arial"/>
                <w:sz w:val="18"/>
                <w:szCs w:val="18"/>
                <w:color w:val="auto"/>
              </w:rPr>
              <w:t>traffic resources</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Fresh Capital Fund I, L.P.</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August 24, 2019</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280,205</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US$5,000,000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Tiantu China Consumer Fund II, L.P.</w:t>
            </w:r>
          </w:p>
        </w:tc>
        <w:tc>
          <w:tcPr>
            <w:tcW w:w="24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August 16, 2019</w:t>
            </w: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rPr>
              <w:t>280,205</w:t>
            </w:r>
          </w:p>
        </w:tc>
        <w:tc>
          <w:tcPr>
            <w:tcW w:w="22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US$5,000,000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Morningside China TMT Fund II, L.P.</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September 16, 2019</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840,614</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US$15,000,000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Guotai Junan Finance (Hong Kong) Limited</w:t>
            </w:r>
          </w:p>
        </w:tc>
        <w:tc>
          <w:tcPr>
            <w:tcW w:w="2440" w:type="dxa"/>
            <w:vAlign w:val="bottom"/>
            <w:gridSpan w:val="2"/>
          </w:tcPr>
          <w:p>
            <w:pPr>
              <w:jc w:val="center"/>
              <w:ind w:right="220"/>
              <w:spacing w:after="0"/>
              <w:rPr>
                <w:sz w:val="20"/>
                <w:szCs w:val="20"/>
                <w:color w:val="auto"/>
              </w:rPr>
            </w:pPr>
            <w:r>
              <w:rPr>
                <w:rFonts w:ascii="Arial" w:cs="Arial" w:eastAsia="Arial" w:hAnsi="Arial"/>
                <w:sz w:val="18"/>
                <w:szCs w:val="18"/>
                <w:color w:val="auto"/>
              </w:rPr>
              <w:t>September 9, 2020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1,401,024</w:t>
            </w: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rPr>
              <w:t>US$25,000,000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JD.com Development Limited</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99"/>
              </w:rPr>
              <w:t>September 14, 2020</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2,802,048</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Refresher Limited</w:t>
            </w:r>
          </w:p>
        </w:tc>
        <w:tc>
          <w:tcPr>
            <w:tcW w:w="24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rPr>
              <w:t>February 8, 2021</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rPr>
              <w:t>403,747</w:t>
            </w:r>
          </w:p>
        </w:tc>
        <w:tc>
          <w:tcPr>
            <w:tcW w:w="22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jc w:val="center"/>
              <w:spacing w:after="0" w:line="203" w:lineRule="exact"/>
              <w:rPr>
                <w:sz w:val="20"/>
                <w:szCs w:val="20"/>
                <w:color w:val="auto"/>
              </w:rPr>
            </w:pPr>
            <w:r>
              <w:rPr>
                <w:rFonts w:ascii="Arial" w:cs="Arial" w:eastAsia="Arial" w:hAnsi="Arial"/>
                <w:sz w:val="18"/>
                <w:szCs w:val="18"/>
                <w:color w:val="auto"/>
                <w:w w:val="99"/>
              </w:rPr>
              <w:t>RMB50,000,000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InnoVen Capital China Pte. Ltd.</w:t>
            </w:r>
          </w:p>
        </w:tc>
        <w:tc>
          <w:tcPr>
            <w:tcW w:w="244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rPr>
              <w:t>May 12, 2021</w:t>
            </w: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56,041</w:t>
            </w: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US$1,000,000</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Bourgeon Inc</w:t>
            </w:r>
          </w:p>
        </w:tc>
        <w:tc>
          <w:tcPr>
            <w:tcW w:w="244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rPr>
              <w:t>May 25, 2021</w:t>
            </w:r>
          </w:p>
        </w:tc>
        <w:tc>
          <w:tcPr>
            <w:tcW w:w="1220" w:type="dxa"/>
            <w:vAlign w:val="bottom"/>
          </w:tcPr>
          <w:p>
            <w:pPr>
              <w:jc w:val="center"/>
              <w:spacing w:after="0" w:line="201" w:lineRule="exact"/>
              <w:rPr>
                <w:sz w:val="20"/>
                <w:szCs w:val="20"/>
                <w:color w:val="auto"/>
              </w:rPr>
            </w:pPr>
            <w:r>
              <w:rPr>
                <w:rFonts w:ascii="Arial" w:cs="Arial" w:eastAsia="Arial" w:hAnsi="Arial"/>
                <w:sz w:val="18"/>
                <w:szCs w:val="18"/>
                <w:color w:val="auto"/>
              </w:rPr>
              <w:t>807,494</w:t>
            </w:r>
          </w:p>
        </w:tc>
        <w:tc>
          <w:tcPr>
            <w:tcW w:w="22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RMB100,000,000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Securities/Purchaser</w:t>
            </w:r>
          </w:p>
        </w:tc>
        <w:tc>
          <w:tcPr>
            <w:tcW w:w="374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Date of</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 of</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Issuance</w:t>
            </w: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Securities</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Shanghai Qihuai Enterprises Management Partnership (Limited</w:t>
            </w:r>
          </w:p>
        </w:tc>
        <w:tc>
          <w:tcPr>
            <w:tcW w:w="6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May 25,</w:t>
            </w:r>
          </w:p>
        </w:tc>
        <w:tc>
          <w:tcPr>
            <w:tcW w:w="7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rPr>
              <w:t>403,747</w:t>
            </w:r>
          </w:p>
        </w:tc>
        <w:tc>
          <w:tcPr>
            <w:tcW w:w="76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Partnership)</w:t>
            </w:r>
          </w:p>
        </w:tc>
        <w:tc>
          <w:tcPr>
            <w:tcW w:w="152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9"/>
              </w:rPr>
              <w:t>2021</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RMB50,000,000</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Tianjin Huihe Haihe Intelligent Logistics Industry Fund</w:t>
            </w:r>
          </w:p>
        </w:tc>
        <w:tc>
          <w:tcPr>
            <w:tcW w:w="640" w:type="dxa"/>
            <w:vAlign w:val="bottom"/>
          </w:tcPr>
          <w:p>
            <w:pPr>
              <w:spacing w:after="0"/>
              <w:rPr>
                <w:sz w:val="17"/>
                <w:szCs w:val="17"/>
                <w:color w:val="auto"/>
              </w:rPr>
            </w:pPr>
          </w:p>
        </w:tc>
        <w:tc>
          <w:tcPr>
            <w:tcW w:w="164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w w:val="99"/>
              </w:rPr>
              <w:t>May 25,</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282,623</w:t>
            </w:r>
          </w:p>
        </w:tc>
        <w:tc>
          <w:tcPr>
            <w:tcW w:w="76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03"/>
        </w:trPr>
        <w:tc>
          <w:tcPr>
            <w:tcW w:w="518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Partnership (Limited Partnership)</w:t>
            </w:r>
          </w:p>
        </w:tc>
        <w:tc>
          <w:tcPr>
            <w:tcW w:w="1520" w:type="dxa"/>
            <w:vAlign w:val="bottom"/>
            <w:gridSpan w:val="2"/>
          </w:tcPr>
          <w:p>
            <w:pPr>
              <w:jc w:val="center"/>
              <w:ind w:left="550"/>
              <w:spacing w:after="0" w:line="203" w:lineRule="exact"/>
              <w:rPr>
                <w:sz w:val="20"/>
                <w:szCs w:val="20"/>
                <w:color w:val="auto"/>
              </w:rPr>
            </w:pPr>
            <w:r>
              <w:rPr>
                <w:rFonts w:ascii="Arial" w:cs="Arial" w:eastAsia="Arial" w:hAnsi="Arial"/>
                <w:sz w:val="18"/>
                <w:szCs w:val="18"/>
                <w:color w:val="auto"/>
                <w:w w:val="99"/>
              </w:rPr>
              <w:t>2021</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tcPr>
          <w:p>
            <w:pPr>
              <w:jc w:val="center"/>
              <w:spacing w:after="0" w:line="203" w:lineRule="exact"/>
              <w:rPr>
                <w:sz w:val="20"/>
                <w:szCs w:val="20"/>
                <w:color w:val="auto"/>
              </w:rPr>
            </w:pPr>
            <w:r>
              <w:rPr>
                <w:rFonts w:ascii="Arial" w:cs="Arial" w:eastAsia="Arial" w:hAnsi="Arial"/>
                <w:sz w:val="18"/>
                <w:szCs w:val="18"/>
                <w:color w:val="auto"/>
                <w:w w:val="99"/>
              </w:rPr>
              <w:t>RMB35,000,000</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Series F preferred shares</w:t>
            </w: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Design Time Limited</w:t>
            </w:r>
          </w:p>
        </w:tc>
        <w:tc>
          <w:tcPr>
            <w:tcW w:w="640" w:type="dxa"/>
            <w:vAlign w:val="bottom"/>
          </w:tcPr>
          <w:p>
            <w:pPr>
              <w:spacing w:after="0"/>
              <w:rPr>
                <w:sz w:val="17"/>
                <w:szCs w:val="17"/>
                <w:color w:val="auto"/>
              </w:rPr>
            </w:pPr>
          </w:p>
        </w:tc>
        <w:tc>
          <w:tcPr>
            <w:tcW w:w="1640" w:type="dxa"/>
            <w:vAlign w:val="bottom"/>
            <w:gridSpan w:val="2"/>
          </w:tcPr>
          <w:p>
            <w:pPr>
              <w:jc w:val="center"/>
              <w:ind w:right="740"/>
              <w:spacing w:after="0" w:line="201" w:lineRule="exact"/>
              <w:rPr>
                <w:sz w:val="20"/>
                <w:szCs w:val="20"/>
                <w:color w:val="auto"/>
              </w:rPr>
            </w:pPr>
            <w:r>
              <w:rPr>
                <w:rFonts w:ascii="Arial" w:cs="Arial" w:eastAsia="Arial" w:hAnsi="Arial"/>
                <w:sz w:val="18"/>
                <w:szCs w:val="18"/>
                <w:color w:val="auto"/>
                <w:w w:val="99"/>
              </w:rPr>
              <w:t>May 5,</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720,439</w:t>
            </w:r>
          </w:p>
        </w:tc>
        <w:tc>
          <w:tcPr>
            <w:tcW w:w="76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rPr>
              <w:t>US$14,000,000</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520" w:type="dxa"/>
            <w:vAlign w:val="bottom"/>
            <w:gridSpan w:val="2"/>
          </w:tcPr>
          <w:p>
            <w:pPr>
              <w:jc w:val="center"/>
              <w:ind w:left="550"/>
              <w:spacing w:after="0" w:line="203" w:lineRule="exact"/>
              <w:rPr>
                <w:sz w:val="20"/>
                <w:szCs w:val="20"/>
                <w:color w:val="auto"/>
              </w:rPr>
            </w:pPr>
            <w:r>
              <w:rPr>
                <w:rFonts w:ascii="Arial" w:cs="Arial" w:eastAsia="Arial" w:hAnsi="Arial"/>
                <w:sz w:val="18"/>
                <w:szCs w:val="18"/>
                <w:color w:val="auto"/>
                <w:w w:val="99"/>
              </w:rPr>
              <w:t>2021</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Pluto Connection Limited</w:t>
            </w:r>
          </w:p>
        </w:tc>
        <w:tc>
          <w:tcPr>
            <w:tcW w:w="6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760"/>
              <w:spacing w:after="0" w:line="201" w:lineRule="exact"/>
              <w:rPr>
                <w:sz w:val="20"/>
                <w:szCs w:val="20"/>
                <w:color w:val="auto"/>
              </w:rPr>
            </w:pPr>
            <w:r>
              <w:rPr>
                <w:rFonts w:ascii="Arial" w:cs="Arial" w:eastAsia="Arial" w:hAnsi="Arial"/>
                <w:sz w:val="18"/>
                <w:szCs w:val="18"/>
                <w:color w:val="auto"/>
              </w:rPr>
              <w:t>April 28,</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1,801,097</w:t>
            </w:r>
          </w:p>
        </w:tc>
        <w:tc>
          <w:tcPr>
            <w:tcW w:w="7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US$35,000,000</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550"/>
              <w:spacing w:after="0" w:line="203" w:lineRule="exact"/>
              <w:rPr>
                <w:sz w:val="20"/>
                <w:szCs w:val="20"/>
                <w:color w:val="auto"/>
              </w:rPr>
            </w:pPr>
            <w:r>
              <w:rPr>
                <w:rFonts w:ascii="Arial" w:cs="Arial" w:eastAsia="Arial" w:hAnsi="Arial"/>
                <w:sz w:val="18"/>
                <w:szCs w:val="18"/>
                <w:color w:val="auto"/>
                <w:w w:val="99"/>
              </w:rPr>
              <w:t>2021</w:t>
            </w: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YIHENG CAPITAL PARTNERS, L.P.</w:t>
            </w:r>
          </w:p>
        </w:tc>
        <w:tc>
          <w:tcPr>
            <w:tcW w:w="640" w:type="dxa"/>
            <w:vAlign w:val="bottom"/>
          </w:tcPr>
          <w:p>
            <w:pPr>
              <w:spacing w:after="0"/>
              <w:rPr>
                <w:sz w:val="17"/>
                <w:szCs w:val="17"/>
                <w:color w:val="auto"/>
              </w:rPr>
            </w:pPr>
          </w:p>
        </w:tc>
        <w:tc>
          <w:tcPr>
            <w:tcW w:w="164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rPr>
              <w:t>April 28,</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720,439</w:t>
            </w:r>
          </w:p>
        </w:tc>
        <w:tc>
          <w:tcPr>
            <w:tcW w:w="76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rPr>
              <w:t>US$14,000,000</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520" w:type="dxa"/>
            <w:vAlign w:val="bottom"/>
            <w:gridSpan w:val="2"/>
          </w:tcPr>
          <w:p>
            <w:pPr>
              <w:jc w:val="center"/>
              <w:ind w:left="550"/>
              <w:spacing w:after="0" w:line="203" w:lineRule="exact"/>
              <w:rPr>
                <w:sz w:val="20"/>
                <w:szCs w:val="20"/>
                <w:color w:val="auto"/>
              </w:rPr>
            </w:pPr>
            <w:r>
              <w:rPr>
                <w:rFonts w:ascii="Arial" w:cs="Arial" w:eastAsia="Arial" w:hAnsi="Arial"/>
                <w:sz w:val="18"/>
                <w:szCs w:val="18"/>
                <w:color w:val="auto"/>
                <w:w w:val="99"/>
              </w:rPr>
              <w:t>2021</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Tiger Pacific Master Fund LP</w:t>
            </w:r>
          </w:p>
        </w:tc>
        <w:tc>
          <w:tcPr>
            <w:tcW w:w="6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760"/>
              <w:spacing w:after="0" w:line="201" w:lineRule="exact"/>
              <w:rPr>
                <w:sz w:val="20"/>
                <w:szCs w:val="20"/>
                <w:color w:val="auto"/>
              </w:rPr>
            </w:pPr>
            <w:r>
              <w:rPr>
                <w:rFonts w:ascii="Arial" w:cs="Arial" w:eastAsia="Arial" w:hAnsi="Arial"/>
                <w:sz w:val="18"/>
                <w:szCs w:val="18"/>
                <w:color w:val="auto"/>
              </w:rPr>
              <w:t>April 28,</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720,439</w:t>
            </w:r>
          </w:p>
        </w:tc>
        <w:tc>
          <w:tcPr>
            <w:tcW w:w="7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US$14,000,000</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550"/>
              <w:spacing w:after="0" w:line="203" w:lineRule="exact"/>
              <w:rPr>
                <w:sz w:val="20"/>
                <w:szCs w:val="20"/>
                <w:color w:val="auto"/>
              </w:rPr>
            </w:pPr>
            <w:r>
              <w:rPr>
                <w:rFonts w:ascii="Arial" w:cs="Arial" w:eastAsia="Arial" w:hAnsi="Arial"/>
                <w:sz w:val="18"/>
                <w:szCs w:val="18"/>
                <w:color w:val="auto"/>
                <w:w w:val="99"/>
              </w:rPr>
              <w:t>2021</w:t>
            </w: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Tian Zhan Investment Limited</w:t>
            </w:r>
          </w:p>
        </w:tc>
        <w:tc>
          <w:tcPr>
            <w:tcW w:w="640" w:type="dxa"/>
            <w:vAlign w:val="bottom"/>
          </w:tcPr>
          <w:p>
            <w:pPr>
              <w:spacing w:after="0"/>
              <w:rPr>
                <w:sz w:val="17"/>
                <w:szCs w:val="17"/>
                <w:color w:val="auto"/>
              </w:rPr>
            </w:pPr>
          </w:p>
        </w:tc>
        <w:tc>
          <w:tcPr>
            <w:tcW w:w="164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w w:val="99"/>
              </w:rPr>
              <w:t>May 12,</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540,329</w:t>
            </w:r>
          </w:p>
        </w:tc>
        <w:tc>
          <w:tcPr>
            <w:tcW w:w="760" w:type="dxa"/>
            <w:vAlign w:val="bottom"/>
          </w:tcPr>
          <w:p>
            <w:pPr>
              <w:spacing w:after="0"/>
              <w:rPr>
                <w:sz w:val="17"/>
                <w:szCs w:val="17"/>
                <w:color w:val="auto"/>
              </w:rPr>
            </w:pP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rPr>
              <w:t>US$10,500,000</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520" w:type="dxa"/>
            <w:vAlign w:val="bottom"/>
            <w:gridSpan w:val="2"/>
          </w:tcPr>
          <w:p>
            <w:pPr>
              <w:jc w:val="center"/>
              <w:ind w:left="550"/>
              <w:spacing w:after="0" w:line="203" w:lineRule="exact"/>
              <w:rPr>
                <w:sz w:val="20"/>
                <w:szCs w:val="20"/>
                <w:color w:val="auto"/>
              </w:rPr>
            </w:pPr>
            <w:r>
              <w:rPr>
                <w:rFonts w:ascii="Arial" w:cs="Arial" w:eastAsia="Arial" w:hAnsi="Arial"/>
                <w:sz w:val="18"/>
                <w:szCs w:val="18"/>
                <w:color w:val="auto"/>
                <w:w w:val="99"/>
              </w:rPr>
              <w:t>2021</w:t>
            </w: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Being Capital Fund I LP</w:t>
            </w:r>
          </w:p>
        </w:tc>
        <w:tc>
          <w:tcPr>
            <w:tcW w:w="6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760"/>
              <w:spacing w:after="0" w:line="201" w:lineRule="exact"/>
              <w:rPr>
                <w:sz w:val="20"/>
                <w:szCs w:val="20"/>
                <w:color w:val="auto"/>
              </w:rPr>
            </w:pPr>
            <w:r>
              <w:rPr>
                <w:rFonts w:ascii="Arial" w:cs="Arial" w:eastAsia="Arial" w:hAnsi="Arial"/>
                <w:sz w:val="18"/>
                <w:szCs w:val="18"/>
                <w:color w:val="auto"/>
              </w:rPr>
              <w:t>April 30,</w:t>
            </w: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1,080,658</w:t>
            </w:r>
          </w:p>
        </w:tc>
        <w:tc>
          <w:tcPr>
            <w:tcW w:w="76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US$21,000,000</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550"/>
              <w:spacing w:after="0" w:line="203" w:lineRule="exact"/>
              <w:rPr>
                <w:sz w:val="20"/>
                <w:szCs w:val="20"/>
                <w:color w:val="auto"/>
              </w:rPr>
            </w:pPr>
            <w:r>
              <w:rPr>
                <w:rFonts w:ascii="Arial" w:cs="Arial" w:eastAsia="Arial" w:hAnsi="Arial"/>
                <w:sz w:val="18"/>
                <w:szCs w:val="18"/>
                <w:color w:val="auto"/>
                <w:w w:val="99"/>
              </w:rPr>
              <w:t>2021</w:t>
            </w: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1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II-2.1</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Securities/Purchaser</w:t>
            </w:r>
          </w:p>
        </w:tc>
        <w:tc>
          <w:tcPr>
            <w:tcW w:w="3720" w:type="dxa"/>
            <w:vAlign w:val="bottom"/>
            <w:vMerge w:val="restart"/>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Date of</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Issuance</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Securities</w:t>
            </w:r>
          </w:p>
        </w:tc>
        <w:tc>
          <w:tcPr>
            <w:tcW w:w="1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JD.com Development Limited</w:t>
            </w:r>
          </w:p>
        </w:tc>
        <w:tc>
          <w:tcPr>
            <w:tcW w:w="1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April 30, 2021</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720,439</w:t>
            </w:r>
          </w:p>
        </w:tc>
        <w:tc>
          <w:tcPr>
            <w:tcW w:w="1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US$14,000,000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INTERNET FUND IV PTE. LTD.</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April 30, 2021</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rPr>
              <w:t>900,548</w:t>
            </w: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US$17,500,000</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Cosmic Blue Investments Limited</w:t>
            </w:r>
          </w:p>
        </w:tc>
        <w:tc>
          <w:tcPr>
            <w:tcW w:w="19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May 25, 2021</w:t>
            </w:r>
          </w:p>
        </w:tc>
        <w:tc>
          <w:tcPr>
            <w:tcW w:w="18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2,572,995</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US$50,000,000 in the</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form of cash and</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business resources</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Series E Convertible Loans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Tianjin Huihe Haihe Intelligent Logistics Industry Fund</w:t>
            </w:r>
          </w:p>
        </w:tc>
        <w:tc>
          <w:tcPr>
            <w:tcW w:w="19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September 4, 2020</w:t>
            </w:r>
          </w:p>
        </w:tc>
        <w:tc>
          <w:tcPr>
            <w:tcW w:w="19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9"/>
              </w:rPr>
              <w:t>Convertible to</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RMB35,000,000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Partnership (Limited Partnership)</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282,623 Series E</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preferred shares</w:t>
            </w: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Ningbo Qingyu Investment Management Co., Ltd.</w:t>
            </w:r>
          </w:p>
        </w:tc>
        <w:tc>
          <w:tcPr>
            <w:tcW w:w="19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September 4, 2020</w:t>
            </w:r>
          </w:p>
        </w:tc>
        <w:tc>
          <w:tcPr>
            <w:tcW w:w="1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9"/>
              </w:rPr>
              <w:t>Convertible to</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RMB50,000,000</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403,747 Series E</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preferred shares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Zibo Minsheng Ouming Equity Investment Partnership (Limited</w:t>
            </w:r>
          </w:p>
        </w:tc>
        <w:tc>
          <w:tcPr>
            <w:tcW w:w="192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9"/>
              </w:rPr>
              <w:t>November 19, 2020</w:t>
            </w:r>
          </w:p>
        </w:tc>
        <w:tc>
          <w:tcPr>
            <w:tcW w:w="19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9"/>
              </w:rPr>
              <w:t>Convertible to</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RMB100,000,000</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Partnership)</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807,494 Series E</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preferred shares</w:t>
            </w: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Ordinary Shares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Shanghai Jinglin Jinghui Equity Investment Center (Limited</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Partnership)</w:t>
            </w:r>
          </w:p>
        </w:tc>
        <w:tc>
          <w:tcPr>
            <w:tcW w:w="192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rPr>
              <w:t>February 8, 2021</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992,513</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 equivalent of</w:t>
            </w:r>
          </w:p>
        </w:tc>
        <w:tc>
          <w:tcPr>
            <w:tcW w:w="0" w:type="dxa"/>
            <w:vAlign w:val="bottom"/>
          </w:tcPr>
          <w:p>
            <w:pPr>
              <w:spacing w:after="0"/>
              <w:rPr>
                <w:sz w:val="1"/>
                <w:szCs w:val="1"/>
                <w:color w:val="auto"/>
              </w:rPr>
            </w:pPr>
          </w:p>
        </w:tc>
      </w:tr>
      <w:tr>
        <w:trPr>
          <w:trHeight w:val="217"/>
        </w:trPr>
        <w:tc>
          <w:tcPr>
            <w:tcW w:w="144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RMB30,000,000</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Design Time Limited</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8"/>
              </w:rPr>
              <w:t>May 5, 2021</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rPr>
              <w:t>160,411</w:t>
            </w: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US$2,493,767</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Pluto Connection Limited</w:t>
            </w:r>
          </w:p>
        </w:tc>
        <w:tc>
          <w:tcPr>
            <w:tcW w:w="192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April 28, 2021</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401,028</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US$6,234,419</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YIHENG CAPITAL PARTNERS, L.P.</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April 28, 2021</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rPr>
              <w:t>160,411</w:t>
            </w: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US$2,493,767</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Tiger Pacific Master Fund LP</w:t>
            </w:r>
          </w:p>
        </w:tc>
        <w:tc>
          <w:tcPr>
            <w:tcW w:w="192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April 28, 2021</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160,412</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US$2,493,767</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Tian Zhan Investment Limited</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rPr>
              <w:t>May 12, 2021</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rPr>
              <w:t>120,309</w:t>
            </w: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US$1,870,326</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Being Capital Fund I LP</w:t>
            </w:r>
          </w:p>
        </w:tc>
        <w:tc>
          <w:tcPr>
            <w:tcW w:w="192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April 30, 2021</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240,617</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US$3,740,651</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color w:val="auto"/>
              </w:rPr>
              <w:t>JD.com Development Limited</w:t>
            </w: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April 30, 2021</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rPr>
              <w:t>160,411</w:t>
            </w: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US$2,493,767</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INTERNET FUND IV PTE. LTD.</w:t>
            </w:r>
          </w:p>
        </w:tc>
        <w:tc>
          <w:tcPr>
            <w:tcW w:w="192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April 30, 2021</w:t>
            </w:r>
          </w:p>
        </w:tc>
        <w:tc>
          <w:tcPr>
            <w:tcW w:w="18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200,514</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US$3,117,209</w:t>
            </w:r>
          </w:p>
        </w:tc>
        <w:tc>
          <w:tcPr>
            <w:tcW w:w="0" w:type="dxa"/>
            <w:vAlign w:val="bottom"/>
          </w:tcPr>
          <w:p>
            <w:pPr>
              <w:spacing w:after="0"/>
              <w:rPr>
                <w:sz w:val="1"/>
                <w:szCs w:val="1"/>
                <w:color w:val="auto"/>
              </w:rPr>
            </w:pPr>
          </w:p>
        </w:tc>
      </w:tr>
      <w:tr>
        <w:trPr>
          <w:trHeight w:val="203"/>
        </w:trPr>
        <w:tc>
          <w:tcPr>
            <w:tcW w:w="51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Warrant</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InnoVen Capital China Pte. Ltd.</w:t>
            </w:r>
          </w:p>
        </w:tc>
        <w:tc>
          <w:tcPr>
            <w:tcW w:w="192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9"/>
              </w:rPr>
              <w:t>December 9, 2020</w:t>
            </w:r>
          </w:p>
        </w:tc>
        <w:tc>
          <w:tcPr>
            <w:tcW w:w="19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9"/>
              </w:rPr>
              <w:t>Certain number</w:t>
            </w: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US$1,000,000</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of Series E</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preferred shares</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depending on the</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120"/>
              <w:spacing w:after="0" w:line="203" w:lineRule="exact"/>
              <w:rPr>
                <w:sz w:val="20"/>
                <w:szCs w:val="20"/>
                <w:color w:val="auto"/>
              </w:rPr>
            </w:pPr>
            <w:r>
              <w:rPr>
                <w:rFonts w:ascii="Arial" w:cs="Arial" w:eastAsia="Arial" w:hAnsi="Arial"/>
                <w:sz w:val="18"/>
                <w:szCs w:val="18"/>
                <w:color w:val="auto"/>
                <w:w w:val="99"/>
              </w:rPr>
              <w:t>subscription price</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China Equities HK Limited</w:t>
            </w:r>
          </w:p>
        </w:tc>
        <w:tc>
          <w:tcPr>
            <w:tcW w:w="19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May 10, 2021</w:t>
            </w:r>
          </w:p>
        </w:tc>
        <w:tc>
          <w:tcPr>
            <w:tcW w:w="1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9"/>
              </w:rPr>
              <w:t>153,570 ordinary</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US$2.65 per share,</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shares</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subject to certain price</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line="203" w:lineRule="exact"/>
              <w:rPr>
                <w:sz w:val="20"/>
                <w:szCs w:val="20"/>
                <w:color w:val="auto"/>
              </w:rPr>
            </w:pPr>
            <w:r>
              <w:rPr>
                <w:rFonts w:ascii="Arial" w:cs="Arial" w:eastAsia="Arial" w:hAnsi="Arial"/>
                <w:sz w:val="18"/>
                <w:szCs w:val="18"/>
                <w:color w:val="auto"/>
              </w:rPr>
              <w:t>adjustments</w:t>
            </w:r>
          </w:p>
        </w:tc>
        <w:tc>
          <w:tcPr>
            <w:tcW w:w="0" w:type="dxa"/>
            <w:vAlign w:val="bottom"/>
          </w:tcPr>
          <w:p>
            <w:pPr>
              <w:spacing w:after="0"/>
              <w:rPr>
                <w:sz w:val="1"/>
                <w:szCs w:val="1"/>
                <w:color w:val="auto"/>
              </w:rPr>
            </w:pPr>
          </w:p>
        </w:tc>
      </w:tr>
      <w:tr>
        <w:trPr>
          <w:trHeight w:val="203"/>
        </w:trPr>
        <w:tc>
          <w:tcPr>
            <w:tcW w:w="5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Options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Certain directors, officers and employees</w:t>
            </w:r>
          </w:p>
        </w:tc>
        <w:tc>
          <w:tcPr>
            <w:tcW w:w="192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May 11, 2010 to</w:t>
            </w:r>
          </w:p>
        </w:tc>
        <w:tc>
          <w:tcPr>
            <w:tcW w:w="1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rPr>
              <w:t>Options to purchase</w:t>
            </w:r>
          </w:p>
        </w:tc>
        <w:tc>
          <w:tcPr>
            <w:tcW w:w="1980" w:type="dxa"/>
            <w:vAlign w:val="bottom"/>
          </w:tcPr>
          <w:p>
            <w:pPr>
              <w:jc w:val="center"/>
              <w:spacing w:after="0" w:line="201" w:lineRule="exact"/>
              <w:rPr>
                <w:sz w:val="20"/>
                <w:szCs w:val="20"/>
                <w:color w:val="auto"/>
              </w:rPr>
            </w:pPr>
            <w:r>
              <w:rPr>
                <w:rFonts w:ascii="Arial" w:cs="Arial" w:eastAsia="Arial" w:hAnsi="Arial"/>
                <w:sz w:val="18"/>
                <w:szCs w:val="18"/>
                <w:color w:val="auto"/>
                <w:w w:val="99"/>
              </w:rPr>
              <w:t>Exercise prices ranging</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92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April 13, 2021</w:t>
            </w:r>
          </w:p>
        </w:tc>
        <w:tc>
          <w:tcPr>
            <w:tcW w:w="1860" w:type="dxa"/>
            <w:vAlign w:val="bottom"/>
          </w:tcPr>
          <w:p>
            <w:pPr>
              <w:jc w:val="center"/>
              <w:spacing w:after="0" w:line="202" w:lineRule="exact"/>
              <w:rPr>
                <w:sz w:val="20"/>
                <w:szCs w:val="20"/>
                <w:color w:val="auto"/>
              </w:rPr>
            </w:pPr>
            <w:r>
              <w:rPr>
                <w:rFonts w:ascii="Arial" w:cs="Arial" w:eastAsia="Arial" w:hAnsi="Arial"/>
                <w:sz w:val="18"/>
                <w:szCs w:val="18"/>
                <w:color w:val="auto"/>
                <w:w w:val="99"/>
              </w:rPr>
              <w:t>19,728,141</w:t>
            </w: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w w:val="99"/>
              </w:rPr>
              <w:t>from US$0.03 per share</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ordinary shares</w:t>
            </w:r>
          </w:p>
        </w:tc>
        <w:tc>
          <w:tcPr>
            <w:tcW w:w="1980" w:type="dxa"/>
            <w:vAlign w:val="bottom"/>
          </w:tcPr>
          <w:p>
            <w:pPr>
              <w:jc w:val="center"/>
              <w:spacing w:after="0" w:line="202" w:lineRule="exact"/>
              <w:rPr>
                <w:sz w:val="20"/>
                <w:szCs w:val="20"/>
                <w:color w:val="auto"/>
              </w:rPr>
            </w:pPr>
            <w:r>
              <w:rPr>
                <w:rFonts w:ascii="Arial" w:cs="Arial" w:eastAsia="Arial" w:hAnsi="Arial"/>
                <w:sz w:val="18"/>
                <w:szCs w:val="18"/>
                <w:color w:val="auto"/>
              </w:rPr>
              <w:t>to US$2.8 per share</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and 2,964,091</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restricted share</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units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8. Exhibits and Financial Statement Schedules.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Exhibits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beginning on page II-5 of this registration statement.</w:t>
      </w:r>
    </w:p>
    <w:p>
      <w:pPr>
        <w:spacing w:after="0" w:line="21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203"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26" w:lineRule="exact"/>
        <w:rPr>
          <w:sz w:val="20"/>
          <w:szCs w:val="20"/>
          <w:color w:val="auto"/>
        </w:rPr>
      </w:pPr>
    </w:p>
    <w:p>
      <w:pPr>
        <w:ind w:left="120" w:right="880" w:firstLine="551"/>
        <w:spacing w:after="0" w:line="24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9. Undertakings.</w:t>
      </w:r>
    </w:p>
    <w:p>
      <w:pPr>
        <w:spacing w:after="0" w:line="126" w:lineRule="exact"/>
        <w:rPr>
          <w:sz w:val="20"/>
          <w:szCs w:val="20"/>
          <w:color w:val="auto"/>
        </w:rPr>
      </w:pPr>
    </w:p>
    <w:p>
      <w:pPr>
        <w:ind w:left="120" w:firstLine="551"/>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1300" w:right="60" w:hanging="644"/>
        <w:spacing w:after="0" w:line="238" w:lineRule="auto"/>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0" w:lineRule="exact"/>
        <w:rPr>
          <w:rFonts w:ascii="Arial" w:cs="Arial" w:eastAsia="Arial" w:hAnsi="Arial"/>
          <w:sz w:val="18"/>
          <w:szCs w:val="18"/>
          <w:color w:val="auto"/>
        </w:rPr>
      </w:pPr>
    </w:p>
    <w:p>
      <w:pPr>
        <w:ind w:left="1300" w:right="4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80" w:type="dxa"/>
            <w:vAlign w:val="bottom"/>
            <w:gridSpan w:val="26"/>
          </w:tcPr>
          <w:p>
            <w:pPr>
              <w:jc w:val="center"/>
              <w:ind w:right="3160"/>
              <w:spacing w:after="0"/>
              <w:rPr>
                <w:sz w:val="20"/>
                <w:szCs w:val="20"/>
                <w:color w:val="auto"/>
              </w:rPr>
            </w:pPr>
            <w:r>
              <w:rPr>
                <w:rFonts w:ascii="Arial" w:cs="Arial" w:eastAsia="Arial" w:hAnsi="Arial"/>
                <w:sz w:val="18"/>
                <w:szCs w:val="18"/>
                <w:b w:val="1"/>
                <w:bCs w:val="1"/>
                <w:color w:val="auto"/>
                <w:w w:val="99"/>
              </w:rPr>
              <w:t>AIHUISHOU INTERNATIONAL CO. LTD.</w:t>
            </w:r>
          </w:p>
        </w:tc>
      </w:tr>
      <w:tr>
        <w:trPr>
          <w:trHeight w:val="527"/>
        </w:trPr>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20" w:type="dxa"/>
            <w:vAlign w:val="bottom"/>
            <w:gridSpan w:val="24"/>
          </w:tcPr>
          <w:p>
            <w:pPr>
              <w:jc w:val="center"/>
              <w:ind w:right="4520"/>
              <w:spacing w:after="0"/>
              <w:rPr>
                <w:sz w:val="20"/>
                <w:szCs w:val="20"/>
                <w:color w:val="auto"/>
              </w:rPr>
            </w:pPr>
            <w:r>
              <w:rPr>
                <w:rFonts w:ascii="Arial" w:cs="Arial" w:eastAsia="Arial" w:hAnsi="Arial"/>
                <w:sz w:val="18"/>
                <w:szCs w:val="18"/>
                <w:b w:val="1"/>
                <w:bCs w:val="1"/>
                <w:color w:val="auto"/>
                <w:w w:val="99"/>
              </w:rPr>
              <w:t>Exhibit Index</w:t>
            </w:r>
          </w:p>
        </w:tc>
      </w:tr>
      <w:tr>
        <w:trPr>
          <w:trHeight w:val="378"/>
        </w:trPr>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5"/>
        </w:trPr>
        <w:tc>
          <w:tcPr>
            <w:tcW w:w="6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Description of Document</w:t>
            </w:r>
          </w:p>
        </w:tc>
        <w:tc>
          <w:tcPr>
            <w:tcW w:w="3900" w:type="dxa"/>
            <w:vAlign w:val="bottom"/>
            <w:gridSpan w:val="16"/>
          </w:tcPr>
          <w:p>
            <w:pPr>
              <w:spacing w:after="0"/>
              <w:rPr>
                <w:sz w:val="15"/>
                <w:szCs w:val="15"/>
                <w:color w:val="auto"/>
              </w:rPr>
            </w:pPr>
          </w:p>
        </w:tc>
      </w:tr>
      <w:tr>
        <w:trPr>
          <w:trHeight w:val="318"/>
        </w:trPr>
        <w:tc>
          <w:tcPr>
            <w:tcW w:w="620" w:type="dxa"/>
            <w:vAlign w:val="bottom"/>
            <w:gridSpan w:val="2"/>
          </w:tcPr>
          <w:p>
            <w:pPr>
              <w:jc w:val="right"/>
              <w:ind w:right="114"/>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9720" w:type="dxa"/>
            <w:vAlign w:val="bottom"/>
            <w:gridSpan w:val="30"/>
          </w:tcPr>
          <w:p>
            <w:pPr>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60" w:type="dxa"/>
            <w:vAlign w:val="bottom"/>
          </w:tcPr>
          <w:p>
            <w:pPr>
              <w:spacing w:after="0"/>
              <w:rPr>
                <w:sz w:val="23"/>
                <w:szCs w:val="23"/>
                <w:color w:val="auto"/>
              </w:rPr>
            </w:pPr>
          </w:p>
        </w:tc>
        <w:tc>
          <w:tcPr>
            <w:tcW w:w="560" w:type="dxa"/>
            <w:vAlign w:val="bottom"/>
          </w:tcPr>
          <w:p>
            <w:pPr>
              <w:jc w:val="right"/>
              <w:ind w:right="114"/>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w:t>
            </w:r>
          </w:p>
        </w:tc>
        <w:tc>
          <w:tcPr>
            <w:tcW w:w="480" w:type="dxa"/>
            <w:vAlign w:val="bottom"/>
          </w:tcPr>
          <w:p>
            <w:pPr>
              <w:spacing w:after="0"/>
              <w:rPr>
                <w:sz w:val="23"/>
                <w:szCs w:val="23"/>
                <w:color w:val="auto"/>
              </w:rPr>
            </w:pPr>
          </w:p>
        </w:tc>
        <w:tc>
          <w:tcPr>
            <w:tcW w:w="8300" w:type="dxa"/>
            <w:vAlign w:val="bottom"/>
            <w:tcBorders>
              <w:bottom w:val="single" w:sz="8" w:color="0000EE"/>
            </w:tcBorders>
            <w:gridSpan w:val="20"/>
          </w:tcPr>
          <w:p>
            <w:pPr>
              <w:spacing w:after="0"/>
              <w:rPr>
                <w:rFonts w:ascii="Arial" w:cs="Arial" w:eastAsia="Arial" w:hAnsi="Arial"/>
                <w:sz w:val="18"/>
                <w:szCs w:val="18"/>
                <w:color w:val="0000EE"/>
                <w:w w:val="99"/>
              </w:rPr>
            </w:pPr>
            <w:hyperlink r:id="rId434">
              <w:r>
                <w:rPr>
                  <w:rFonts w:ascii="Arial" w:cs="Arial" w:eastAsia="Arial" w:hAnsi="Arial"/>
                  <w:sz w:val="18"/>
                  <w:szCs w:val="18"/>
                  <w:color w:val="0000EE"/>
                  <w:w w:val="99"/>
                </w:rPr>
                <w:t>Amended and Restated Memorandum and Articles of Association of the Registrant, as currently in effect</w:t>
              </w:r>
            </w:hyperlink>
          </w:p>
        </w:tc>
        <w:tc>
          <w:tcPr>
            <w:tcW w:w="1420" w:type="dxa"/>
            <w:vAlign w:val="bottom"/>
            <w:gridSpan w:val="10"/>
          </w:tcPr>
          <w:p>
            <w:pPr>
              <w:spacing w:after="0"/>
              <w:rPr>
                <w:sz w:val="23"/>
                <w:szCs w:val="23"/>
                <w:color w:val="auto"/>
              </w:rPr>
            </w:pPr>
          </w:p>
        </w:tc>
      </w:tr>
      <w:tr>
        <w:trPr>
          <w:trHeight w:val="291"/>
        </w:trPr>
        <w:tc>
          <w:tcPr>
            <w:tcW w:w="60" w:type="dxa"/>
            <w:vAlign w:val="bottom"/>
          </w:tcPr>
          <w:p>
            <w:pPr>
              <w:spacing w:after="0"/>
              <w:rPr>
                <w:sz w:val="24"/>
                <w:szCs w:val="24"/>
                <w:color w:val="auto"/>
              </w:rPr>
            </w:pPr>
          </w:p>
        </w:tc>
        <w:tc>
          <w:tcPr>
            <w:tcW w:w="560" w:type="dxa"/>
            <w:vAlign w:val="bottom"/>
          </w:tcPr>
          <w:p>
            <w:pPr>
              <w:jc w:val="right"/>
              <w:ind w:right="114"/>
              <w:spacing w:after="0"/>
              <w:rPr>
                <w:sz w:val="20"/>
                <w:szCs w:val="20"/>
                <w:color w:val="auto"/>
              </w:rPr>
            </w:pPr>
            <w:r>
              <w:rPr>
                <w:rFonts w:ascii="Arial" w:cs="Arial" w:eastAsia="Arial" w:hAnsi="Arial"/>
                <w:sz w:val="18"/>
                <w:szCs w:val="18"/>
                <w:color w:val="auto"/>
              </w:rPr>
              <w:t>3.2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35">
              <w:r>
                <w:rPr>
                  <w:rFonts w:ascii="Arial" w:cs="Arial" w:eastAsia="Arial" w:hAnsi="Arial"/>
                  <w:sz w:val="18"/>
                  <w:szCs w:val="18"/>
                  <w:color w:val="0000EE"/>
                </w:rPr>
                <w:t>Form of Amended and Restated Memorandum and Articles of Association of the Registrant, effective immediately prior to</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40" w:type="dxa"/>
            <w:vAlign w:val="bottom"/>
            <w:tcBorders>
              <w:top w:val="single" w:sz="8" w:color="0000EE"/>
            </w:tcBorders>
            <w:gridSpan w:val="29"/>
          </w:tcPr>
          <w:p>
            <w:pPr>
              <w:spacing w:after="0" w:line="182" w:lineRule="exact"/>
              <w:rPr>
                <w:rFonts w:ascii="Arial" w:cs="Arial" w:eastAsia="Arial" w:hAnsi="Arial"/>
                <w:sz w:val="18"/>
                <w:szCs w:val="18"/>
                <w:color w:val="0000EE"/>
              </w:rPr>
            </w:pPr>
            <w:hyperlink r:id="rId435">
              <w:r>
                <w:rPr>
                  <w:rFonts w:ascii="Arial" w:cs="Arial" w:eastAsia="Arial" w:hAnsi="Arial"/>
                  <w:sz w:val="18"/>
                  <w:szCs w:val="18"/>
                  <w:color w:val="0000EE"/>
                </w:rPr>
                <w:t>the closing of this offering</w:t>
              </w:r>
            </w:hyperlink>
          </w:p>
        </w:tc>
        <w:tc>
          <w:tcPr>
            <w:tcW w:w="80" w:type="dxa"/>
            <w:vAlign w:val="bottom"/>
          </w:tcPr>
          <w:p>
            <w:pPr>
              <w:spacing w:after="0"/>
              <w:rPr>
                <w:sz w:val="15"/>
                <w:szCs w:val="15"/>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0"/>
        </w:trPr>
        <w:tc>
          <w:tcPr>
            <w:tcW w:w="620" w:type="dxa"/>
            <w:vAlign w:val="bottom"/>
            <w:gridSpan w:val="2"/>
          </w:tcPr>
          <w:p>
            <w:pPr>
              <w:jc w:val="right"/>
              <w:ind w:right="194"/>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w:anchor="page353">
              <w:r>
                <w:rPr>
                  <w:rFonts w:ascii="Arial" w:cs="Arial" w:eastAsia="Arial" w:hAnsi="Arial"/>
                  <w:sz w:val="18"/>
                  <w:szCs w:val="18"/>
                  <w:color w:val="0000EE"/>
                </w:rPr>
                <w:t>Registrant’s Specimen American Depositary Receipt (included in Exhibit 4.3)</w:t>
              </w:r>
            </w:hyperlink>
          </w:p>
        </w:tc>
      </w:tr>
      <w:tr>
        <w:trPr>
          <w:trHeight w:val="291"/>
        </w:trPr>
        <w:tc>
          <w:tcPr>
            <w:tcW w:w="60" w:type="dxa"/>
            <w:vAlign w:val="bottom"/>
          </w:tcPr>
          <w:p>
            <w:pPr>
              <w:spacing w:after="0"/>
              <w:rPr>
                <w:sz w:val="24"/>
                <w:szCs w:val="24"/>
                <w:color w:val="auto"/>
              </w:rPr>
            </w:pPr>
          </w:p>
        </w:tc>
        <w:tc>
          <w:tcPr>
            <w:tcW w:w="560" w:type="dxa"/>
            <w:vAlign w:val="bottom"/>
          </w:tcPr>
          <w:p>
            <w:pPr>
              <w:jc w:val="right"/>
              <w:ind w:right="114"/>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6100" w:type="dxa"/>
            <w:vAlign w:val="bottom"/>
            <w:tcBorders>
              <w:top w:val="single" w:sz="8" w:color="0000EE"/>
            </w:tcBorders>
            <w:gridSpan w:val="15"/>
          </w:tcPr>
          <w:p>
            <w:pPr>
              <w:spacing w:after="0"/>
              <w:rPr>
                <w:rFonts w:ascii="Arial" w:cs="Arial" w:eastAsia="Arial" w:hAnsi="Arial"/>
                <w:sz w:val="18"/>
                <w:szCs w:val="18"/>
                <w:color w:val="0000EE"/>
              </w:rPr>
            </w:pPr>
            <w:hyperlink r:id="rId436">
              <w:r>
                <w:rPr>
                  <w:rFonts w:ascii="Arial" w:cs="Arial" w:eastAsia="Arial" w:hAnsi="Arial"/>
                  <w:sz w:val="18"/>
                  <w:szCs w:val="18"/>
                  <w:color w:val="0000EE"/>
                </w:rPr>
                <w:t>Registrant’s Specimen Certificate for Class A Ordinary Shares</w:t>
              </w:r>
            </w:hyperlink>
          </w:p>
        </w:tc>
        <w:tc>
          <w:tcPr>
            <w:tcW w:w="3620" w:type="dxa"/>
            <w:vAlign w:val="bottom"/>
            <w:gridSpan w:val="15"/>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90"/>
        </w:trPr>
        <w:tc>
          <w:tcPr>
            <w:tcW w:w="620" w:type="dxa"/>
            <w:vAlign w:val="bottom"/>
            <w:gridSpan w:val="2"/>
          </w:tcPr>
          <w:p>
            <w:pPr>
              <w:jc w:val="right"/>
              <w:ind w:right="194"/>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4"/>
                <w:szCs w:val="24"/>
                <w:color w:val="auto"/>
              </w:rPr>
            </w:pPr>
          </w:p>
        </w:tc>
        <w:tc>
          <w:tcPr>
            <w:tcW w:w="936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353">
              <w:r>
                <w:rPr>
                  <w:rFonts w:ascii="Arial" w:cs="Arial" w:eastAsia="Arial" w:hAnsi="Arial"/>
                  <w:sz w:val="18"/>
                  <w:szCs w:val="18"/>
                  <w:color w:val="0000EE"/>
                  <w:w w:val="99"/>
                </w:rPr>
                <w:t>Form of Deposit Agreement, among the Registrant, the depositary and the holders and beneficial owners of American</w:t>
              </w:r>
            </w:hyperlink>
          </w:p>
        </w:tc>
        <w:tc>
          <w:tcPr>
            <w:tcW w:w="360" w:type="dxa"/>
            <w:vAlign w:val="bottom"/>
            <w:gridSpan w:val="6"/>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353">
              <w:r>
                <w:rPr>
                  <w:rFonts w:ascii="Arial" w:cs="Arial" w:eastAsia="Arial" w:hAnsi="Arial"/>
                  <w:sz w:val="18"/>
                  <w:szCs w:val="18"/>
                  <w:color w:val="0000EE"/>
                  <w:w w:val="99"/>
                </w:rPr>
                <w:t>Depositary Shares issued thereunder</w:t>
              </w:r>
            </w:hyperlink>
          </w:p>
        </w:tc>
        <w:tc>
          <w:tcPr>
            <w:tcW w:w="6740" w:type="dxa"/>
            <w:vAlign w:val="bottom"/>
            <w:gridSpan w:val="25"/>
          </w:tcPr>
          <w:p>
            <w:pPr>
              <w:spacing w:after="0"/>
              <w:rPr>
                <w:sz w:val="15"/>
                <w:szCs w:val="15"/>
                <w:color w:val="auto"/>
              </w:rPr>
            </w:pPr>
          </w:p>
        </w:tc>
      </w:tr>
      <w:tr>
        <w:trPr>
          <w:trHeight w:val="291"/>
        </w:trPr>
        <w:tc>
          <w:tcPr>
            <w:tcW w:w="60" w:type="dxa"/>
            <w:vAlign w:val="bottom"/>
          </w:tcPr>
          <w:p>
            <w:pPr>
              <w:spacing w:after="0"/>
              <w:rPr>
                <w:sz w:val="24"/>
                <w:szCs w:val="24"/>
                <w:color w:val="auto"/>
              </w:rPr>
            </w:pPr>
          </w:p>
        </w:tc>
        <w:tc>
          <w:tcPr>
            <w:tcW w:w="560" w:type="dxa"/>
            <w:vAlign w:val="bottom"/>
          </w:tcPr>
          <w:p>
            <w:pPr>
              <w:jc w:val="right"/>
              <w:ind w:right="114"/>
              <w:spacing w:after="0"/>
              <w:rPr>
                <w:sz w:val="20"/>
                <w:szCs w:val="20"/>
                <w:color w:val="auto"/>
              </w:rPr>
            </w:pPr>
            <w:r>
              <w:rPr>
                <w:rFonts w:ascii="Arial" w:cs="Arial" w:eastAsia="Arial" w:hAnsi="Arial"/>
                <w:sz w:val="18"/>
                <w:szCs w:val="18"/>
                <w:color w:val="auto"/>
              </w:rPr>
              <w:t>4.4</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500" w:type="dxa"/>
            <w:vAlign w:val="bottom"/>
            <w:tcBorders>
              <w:bottom w:val="single" w:sz="8" w:color="0000EE"/>
            </w:tcBorders>
            <w:gridSpan w:val="26"/>
          </w:tcPr>
          <w:p>
            <w:pPr>
              <w:spacing w:after="0"/>
              <w:rPr>
                <w:rFonts w:ascii="Arial" w:cs="Arial" w:eastAsia="Arial" w:hAnsi="Arial"/>
                <w:sz w:val="18"/>
                <w:szCs w:val="18"/>
                <w:color w:val="0000EE"/>
                <w:w w:val="99"/>
              </w:rPr>
            </w:pPr>
            <w:hyperlink r:id="rId437">
              <w:r>
                <w:rPr>
                  <w:rFonts w:ascii="Arial" w:cs="Arial" w:eastAsia="Arial" w:hAnsi="Arial"/>
                  <w:sz w:val="18"/>
                  <w:szCs w:val="18"/>
                  <w:color w:val="0000EE"/>
                  <w:w w:val="99"/>
                </w:rPr>
                <w:t>Eighth Amended and Restated Shareholders Agreement among the Registrant and other parties thereto dated April 16,</w:t>
              </w:r>
            </w:hyperlink>
          </w:p>
        </w:tc>
        <w:tc>
          <w:tcPr>
            <w:tcW w:w="220" w:type="dxa"/>
            <w:vAlign w:val="bottom"/>
            <w:gridSpan w:val="4"/>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Borders>
              <w:bottom w:val="single" w:sz="8" w:color="0000EE"/>
            </w:tcBorders>
          </w:tcPr>
          <w:p>
            <w:pPr>
              <w:spacing w:after="0" w:line="182" w:lineRule="exact"/>
              <w:rPr>
                <w:rFonts w:ascii="Arial" w:cs="Arial" w:eastAsia="Arial" w:hAnsi="Arial"/>
                <w:sz w:val="18"/>
                <w:szCs w:val="18"/>
                <w:color w:val="0000EE"/>
                <w:w w:val="94"/>
              </w:rPr>
            </w:pPr>
            <w:hyperlink r:id="rId437">
              <w:r>
                <w:rPr>
                  <w:rFonts w:ascii="Arial" w:cs="Arial" w:eastAsia="Arial" w:hAnsi="Arial"/>
                  <w:sz w:val="18"/>
                  <w:szCs w:val="18"/>
                  <w:color w:val="0000EE"/>
                  <w:w w:val="94"/>
                </w:rPr>
                <w:t>2021</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90"/>
        </w:trPr>
        <w:tc>
          <w:tcPr>
            <w:tcW w:w="60" w:type="dxa"/>
            <w:vAlign w:val="bottom"/>
          </w:tcPr>
          <w:p>
            <w:pPr>
              <w:spacing w:after="0"/>
              <w:rPr>
                <w:sz w:val="24"/>
                <w:szCs w:val="24"/>
                <w:color w:val="auto"/>
              </w:rPr>
            </w:pPr>
          </w:p>
        </w:tc>
        <w:tc>
          <w:tcPr>
            <w:tcW w:w="560" w:type="dxa"/>
            <w:vAlign w:val="bottom"/>
          </w:tcPr>
          <w:p>
            <w:pPr>
              <w:jc w:val="right"/>
              <w:ind w:right="114"/>
              <w:spacing w:after="0"/>
              <w:rPr>
                <w:sz w:val="20"/>
                <w:szCs w:val="20"/>
                <w:color w:val="auto"/>
              </w:rPr>
            </w:pPr>
            <w:r>
              <w:rPr>
                <w:rFonts w:ascii="Arial" w:cs="Arial" w:eastAsia="Arial" w:hAnsi="Arial"/>
                <w:sz w:val="18"/>
                <w:szCs w:val="18"/>
                <w:color w:val="auto"/>
              </w:rPr>
              <w:t>5.1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38">
              <w:r>
                <w:rPr>
                  <w:rFonts w:ascii="Arial" w:cs="Arial" w:eastAsia="Arial" w:hAnsi="Arial"/>
                  <w:sz w:val="18"/>
                  <w:szCs w:val="18"/>
                  <w:color w:val="0000EE"/>
                </w:rPr>
                <w:t>Opinion of Maples and Calder (Hong Kong) LLP regarding the validity of the ordinary shares being registered and certain</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438">
              <w:r>
                <w:rPr>
                  <w:rFonts w:ascii="Arial" w:cs="Arial" w:eastAsia="Arial" w:hAnsi="Arial"/>
                  <w:sz w:val="18"/>
                  <w:szCs w:val="18"/>
                  <w:color w:val="0000EE"/>
                  <w:w w:val="99"/>
                </w:rPr>
                <w:t>Cayman Islands tax matters</w:t>
              </w:r>
            </w:hyperlink>
          </w:p>
        </w:tc>
        <w:tc>
          <w:tcPr>
            <w:tcW w:w="7360" w:type="dxa"/>
            <w:vAlign w:val="bottom"/>
            <w:tcBorders>
              <w:top w:val="single" w:sz="8" w:color="0000EE"/>
            </w:tcBorders>
            <w:gridSpan w:val="24"/>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91"/>
        </w:trPr>
        <w:tc>
          <w:tcPr>
            <w:tcW w:w="60" w:type="dxa"/>
            <w:vAlign w:val="bottom"/>
          </w:tcPr>
          <w:p>
            <w:pPr>
              <w:spacing w:after="0"/>
              <w:rPr>
                <w:sz w:val="24"/>
                <w:szCs w:val="24"/>
                <w:color w:val="auto"/>
              </w:rPr>
            </w:pPr>
          </w:p>
        </w:tc>
        <w:tc>
          <w:tcPr>
            <w:tcW w:w="560" w:type="dxa"/>
            <w:vAlign w:val="bottom"/>
          </w:tcPr>
          <w:p>
            <w:pPr>
              <w:jc w:val="right"/>
              <w:ind w:right="114"/>
              <w:spacing w:after="0"/>
              <w:rPr>
                <w:sz w:val="20"/>
                <w:szCs w:val="20"/>
                <w:color w:val="auto"/>
              </w:rPr>
            </w:pPr>
            <w:r>
              <w:rPr>
                <w:rFonts w:ascii="Arial" w:cs="Arial" w:eastAsia="Arial" w:hAnsi="Arial"/>
                <w:sz w:val="18"/>
                <w:szCs w:val="18"/>
                <w:color w:val="auto"/>
              </w:rPr>
              <w:t>8.1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38">
              <w:r>
                <w:rPr>
                  <w:rFonts w:ascii="Arial" w:cs="Arial" w:eastAsia="Arial" w:hAnsi="Arial"/>
                  <w:sz w:val="18"/>
                  <w:szCs w:val="18"/>
                  <w:color w:val="0000EE"/>
                </w:rPr>
                <w:t>Opinion of Maples and Calder (Hong Kong) LLP regarding certain Cayman Islands tax matters (included in Exhibit 5.1)</w:t>
              </w:r>
            </w:hyperlink>
          </w:p>
        </w:tc>
      </w:tr>
      <w:tr>
        <w:trPr>
          <w:trHeight w:val="291"/>
        </w:trPr>
        <w:tc>
          <w:tcPr>
            <w:tcW w:w="60" w:type="dxa"/>
            <w:vAlign w:val="bottom"/>
          </w:tcPr>
          <w:p>
            <w:pPr>
              <w:spacing w:after="0"/>
              <w:rPr>
                <w:sz w:val="24"/>
                <w:szCs w:val="24"/>
                <w:color w:val="auto"/>
              </w:rPr>
            </w:pPr>
          </w:p>
        </w:tc>
        <w:tc>
          <w:tcPr>
            <w:tcW w:w="560" w:type="dxa"/>
            <w:vAlign w:val="bottom"/>
          </w:tcPr>
          <w:p>
            <w:pPr>
              <w:jc w:val="right"/>
              <w:ind w:right="114"/>
              <w:spacing w:after="0"/>
              <w:rPr>
                <w:sz w:val="20"/>
                <w:szCs w:val="20"/>
                <w:color w:val="auto"/>
              </w:rPr>
            </w:pPr>
            <w:r>
              <w:rPr>
                <w:rFonts w:ascii="Arial" w:cs="Arial" w:eastAsia="Arial" w:hAnsi="Arial"/>
                <w:sz w:val="18"/>
                <w:szCs w:val="18"/>
                <w:color w:val="auto"/>
              </w:rPr>
              <w:t>8.2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3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9"/>
              </w:rPr>
            </w:pPr>
            <w:hyperlink r:id="rId439">
              <w:r>
                <w:rPr>
                  <w:rFonts w:ascii="Arial" w:cs="Arial" w:eastAsia="Arial" w:hAnsi="Arial"/>
                  <w:sz w:val="18"/>
                  <w:szCs w:val="18"/>
                  <w:color w:val="0000EE"/>
                  <w:w w:val="99"/>
                </w:rPr>
                <w:t>Opinion of Han Kun Law Offices regarding certain PRC tax matters (included in Exhibit 99.2)</w:t>
              </w:r>
            </w:hyperlink>
          </w:p>
        </w:tc>
        <w:tc>
          <w:tcPr>
            <w:tcW w:w="2060" w:type="dxa"/>
            <w:vAlign w:val="bottom"/>
            <w:tcBorders>
              <w:top w:val="single" w:sz="8" w:color="0000EE"/>
            </w:tcBorders>
            <w:gridSpan w:val="7"/>
          </w:tcPr>
          <w:p>
            <w:pPr>
              <w:spacing w:after="0"/>
              <w:rPr>
                <w:sz w:val="24"/>
                <w:szCs w:val="24"/>
                <w:color w:val="auto"/>
              </w:rPr>
            </w:pPr>
          </w:p>
        </w:tc>
        <w:tc>
          <w:tcPr>
            <w:tcW w:w="300" w:type="dxa"/>
            <w:vAlign w:val="bottom"/>
            <w:gridSpan w:val="5"/>
          </w:tcPr>
          <w:p>
            <w:pPr>
              <w:spacing w:after="0"/>
              <w:rPr>
                <w:sz w:val="24"/>
                <w:szCs w:val="24"/>
                <w:color w:val="auto"/>
              </w:rPr>
            </w:pPr>
          </w:p>
        </w:tc>
      </w:tr>
      <w:tr>
        <w:trPr>
          <w:trHeight w:val="290"/>
        </w:trPr>
        <w:tc>
          <w:tcPr>
            <w:tcW w:w="620" w:type="dxa"/>
            <w:vAlign w:val="bottom"/>
            <w:gridSpan w:val="2"/>
          </w:tcPr>
          <w:p>
            <w:pPr>
              <w:jc w:val="right"/>
              <w:ind w:right="114"/>
              <w:spacing w:after="0"/>
              <w:rPr>
                <w:sz w:val="20"/>
                <w:szCs w:val="20"/>
                <w:color w:val="auto"/>
              </w:rPr>
            </w:pPr>
            <w:r>
              <w:rPr>
                <w:rFonts w:ascii="Arial" w:cs="Arial" w:eastAsia="Arial" w:hAnsi="Arial"/>
                <w:sz w:val="18"/>
                <w:szCs w:val="18"/>
                <w:color w:val="auto"/>
                <w:w w:val="97"/>
              </w:rPr>
              <w:t>10.1</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40">
              <w:r>
                <w:rPr>
                  <w:rFonts w:ascii="Arial" w:cs="Arial" w:eastAsia="Arial" w:hAnsi="Arial"/>
                  <w:sz w:val="18"/>
                  <w:szCs w:val="18"/>
                  <w:color w:val="0000EE"/>
                </w:rPr>
                <w:t>Amended and Restated Share Incentive Plan</w:t>
              </w:r>
            </w:hyperlink>
          </w:p>
        </w:tc>
      </w:tr>
      <w:tr>
        <w:trPr>
          <w:trHeight w:val="291"/>
        </w:trPr>
        <w:tc>
          <w:tcPr>
            <w:tcW w:w="620" w:type="dxa"/>
            <w:vAlign w:val="bottom"/>
            <w:gridSpan w:val="2"/>
          </w:tcPr>
          <w:p>
            <w:pPr>
              <w:jc w:val="right"/>
              <w:ind w:right="114"/>
              <w:spacing w:after="0"/>
              <w:rPr>
                <w:sz w:val="20"/>
                <w:szCs w:val="20"/>
                <w:color w:val="auto"/>
              </w:rPr>
            </w:pPr>
            <w:r>
              <w:rPr>
                <w:rFonts w:ascii="Arial" w:cs="Arial" w:eastAsia="Arial" w:hAnsi="Arial"/>
                <w:sz w:val="18"/>
                <w:szCs w:val="18"/>
                <w:color w:val="auto"/>
                <w:w w:val="97"/>
              </w:rPr>
              <w:t>10.2</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21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r:id="rId441">
              <w:r>
                <w:rPr>
                  <w:rFonts w:ascii="Arial" w:cs="Arial" w:eastAsia="Arial" w:hAnsi="Arial"/>
                  <w:sz w:val="18"/>
                  <w:szCs w:val="18"/>
                  <w:color w:val="0000EE"/>
                  <w:w w:val="99"/>
                </w:rPr>
                <w:t>2021 Share Incentive Plan</w:t>
              </w:r>
            </w:hyperlink>
          </w:p>
        </w:tc>
        <w:tc>
          <w:tcPr>
            <w:tcW w:w="1480" w:type="dxa"/>
            <w:vAlign w:val="bottom"/>
            <w:tcBorders>
              <w:top w:val="single" w:sz="8" w:color="0000EE"/>
            </w:tcBorders>
            <w:gridSpan w:val="3"/>
          </w:tcPr>
          <w:p>
            <w:pPr>
              <w:spacing w:after="0"/>
              <w:rPr>
                <w:sz w:val="24"/>
                <w:szCs w:val="24"/>
                <w:color w:val="auto"/>
              </w:rPr>
            </w:pPr>
          </w:p>
        </w:tc>
        <w:tc>
          <w:tcPr>
            <w:tcW w:w="6120" w:type="dxa"/>
            <w:vAlign w:val="bottom"/>
            <w:gridSpan w:val="24"/>
          </w:tcPr>
          <w:p>
            <w:pPr>
              <w:spacing w:after="0"/>
              <w:rPr>
                <w:sz w:val="24"/>
                <w:szCs w:val="24"/>
                <w:color w:val="auto"/>
              </w:rPr>
            </w:pPr>
          </w:p>
        </w:tc>
      </w:tr>
      <w:tr>
        <w:trPr>
          <w:trHeight w:val="290"/>
        </w:trPr>
        <w:tc>
          <w:tcPr>
            <w:tcW w:w="620" w:type="dxa"/>
            <w:vAlign w:val="bottom"/>
            <w:gridSpan w:val="2"/>
          </w:tcPr>
          <w:p>
            <w:pPr>
              <w:jc w:val="right"/>
              <w:ind w:right="114"/>
              <w:spacing w:after="0"/>
              <w:rPr>
                <w:sz w:val="20"/>
                <w:szCs w:val="20"/>
                <w:color w:val="auto"/>
              </w:rPr>
            </w:pPr>
            <w:r>
              <w:rPr>
                <w:rFonts w:ascii="Arial" w:cs="Arial" w:eastAsia="Arial" w:hAnsi="Arial"/>
                <w:sz w:val="18"/>
                <w:szCs w:val="18"/>
                <w:color w:val="auto"/>
                <w:w w:val="97"/>
              </w:rPr>
              <w:t>10.3</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42">
              <w:r>
                <w:rPr>
                  <w:rFonts w:ascii="Arial" w:cs="Arial" w:eastAsia="Arial" w:hAnsi="Arial"/>
                  <w:sz w:val="18"/>
                  <w:szCs w:val="18"/>
                  <w:color w:val="0000EE"/>
                </w:rPr>
                <w:t>Form of Indemnification Agreement between the Registrant and its directors and executive officers</w:t>
              </w:r>
            </w:hyperlink>
          </w:p>
        </w:tc>
      </w:tr>
      <w:tr>
        <w:trPr>
          <w:trHeight w:val="290"/>
        </w:trPr>
        <w:tc>
          <w:tcPr>
            <w:tcW w:w="620" w:type="dxa"/>
            <w:vAlign w:val="bottom"/>
            <w:gridSpan w:val="2"/>
          </w:tcPr>
          <w:p>
            <w:pPr>
              <w:jc w:val="right"/>
              <w:ind w:right="114"/>
              <w:spacing w:after="0"/>
              <w:rPr>
                <w:sz w:val="20"/>
                <w:szCs w:val="20"/>
                <w:color w:val="auto"/>
              </w:rPr>
            </w:pPr>
            <w:r>
              <w:rPr>
                <w:rFonts w:ascii="Arial" w:cs="Arial" w:eastAsia="Arial" w:hAnsi="Arial"/>
                <w:sz w:val="18"/>
                <w:szCs w:val="18"/>
                <w:color w:val="auto"/>
                <w:w w:val="97"/>
              </w:rPr>
              <w:t>10.4</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7820" w:type="dxa"/>
            <w:vAlign w:val="bottom"/>
            <w:tcBorders>
              <w:top w:val="single" w:sz="8" w:color="0000EE"/>
            </w:tcBorders>
            <w:gridSpan w:val="19"/>
          </w:tcPr>
          <w:p>
            <w:pPr>
              <w:spacing w:after="0"/>
              <w:rPr>
                <w:rFonts w:ascii="Arial" w:cs="Arial" w:eastAsia="Arial" w:hAnsi="Arial"/>
                <w:sz w:val="18"/>
                <w:szCs w:val="18"/>
                <w:color w:val="0000EE"/>
              </w:rPr>
            </w:pPr>
            <w:hyperlink r:id="rId443">
              <w:r>
                <w:rPr>
                  <w:rFonts w:ascii="Arial" w:cs="Arial" w:eastAsia="Arial" w:hAnsi="Arial"/>
                  <w:sz w:val="18"/>
                  <w:szCs w:val="18"/>
                  <w:color w:val="0000EE"/>
                </w:rPr>
                <w:t>Form of Employment Agreement between the Registrant and its executive officers</w:t>
              </w:r>
            </w:hyperlink>
          </w:p>
        </w:tc>
        <w:tc>
          <w:tcPr>
            <w:tcW w:w="1900" w:type="dxa"/>
            <w:vAlign w:val="bottom"/>
            <w:gridSpan w:val="11"/>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60" w:type="dxa"/>
            <w:vAlign w:val="bottom"/>
            <w:gridSpan w:val="8"/>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90"/>
        </w:trPr>
        <w:tc>
          <w:tcPr>
            <w:tcW w:w="620" w:type="dxa"/>
            <w:vAlign w:val="bottom"/>
            <w:gridSpan w:val="2"/>
          </w:tcPr>
          <w:p>
            <w:pPr>
              <w:jc w:val="right"/>
              <w:ind w:right="114"/>
              <w:spacing w:after="0"/>
              <w:rPr>
                <w:sz w:val="20"/>
                <w:szCs w:val="20"/>
                <w:color w:val="auto"/>
              </w:rPr>
            </w:pPr>
            <w:r>
              <w:rPr>
                <w:rFonts w:ascii="Arial" w:cs="Arial" w:eastAsia="Arial" w:hAnsi="Arial"/>
                <w:sz w:val="18"/>
                <w:szCs w:val="18"/>
                <w:color w:val="auto"/>
                <w:w w:val="97"/>
              </w:rPr>
              <w:t>10.5</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44">
              <w:r>
                <w:rPr>
                  <w:rFonts w:ascii="Arial" w:cs="Arial" w:eastAsia="Arial" w:hAnsi="Arial"/>
                  <w:sz w:val="18"/>
                  <w:szCs w:val="18"/>
                  <w:color w:val="0000EE"/>
                </w:rPr>
                <w:t>English translation of the Exclusive Technology Consulting and Management Service Agreement dated August 31, 2012</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58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r:id="rId444">
              <w:r>
                <w:rPr>
                  <w:rFonts w:ascii="Arial" w:cs="Arial" w:eastAsia="Arial" w:hAnsi="Arial"/>
                  <w:sz w:val="18"/>
                  <w:szCs w:val="18"/>
                  <w:color w:val="0000EE"/>
                </w:rPr>
                <w:t>between Shanghai Aihui and Shanghai Wanwuxinsheng</w:t>
              </w:r>
            </w:hyperlink>
          </w:p>
        </w:tc>
        <w:tc>
          <w:tcPr>
            <w:tcW w:w="140" w:type="dxa"/>
            <w:vAlign w:val="bottom"/>
            <w:gridSpan w:val="3"/>
          </w:tcPr>
          <w:p>
            <w:pPr>
              <w:spacing w:after="0"/>
              <w:rPr>
                <w:sz w:val="15"/>
                <w:szCs w:val="15"/>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60" w:type="dxa"/>
            <w:vAlign w:val="bottom"/>
            <w:gridSpan w:val="8"/>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r>
      <w:tr>
        <w:trPr>
          <w:trHeight w:val="290"/>
        </w:trPr>
        <w:tc>
          <w:tcPr>
            <w:tcW w:w="620" w:type="dxa"/>
            <w:vAlign w:val="bottom"/>
            <w:gridSpan w:val="2"/>
          </w:tcPr>
          <w:p>
            <w:pPr>
              <w:jc w:val="right"/>
              <w:ind w:right="114"/>
              <w:spacing w:after="0"/>
              <w:rPr>
                <w:sz w:val="20"/>
                <w:szCs w:val="20"/>
                <w:color w:val="auto"/>
              </w:rPr>
            </w:pPr>
            <w:r>
              <w:rPr>
                <w:rFonts w:ascii="Arial" w:cs="Arial" w:eastAsia="Arial" w:hAnsi="Arial"/>
                <w:sz w:val="18"/>
                <w:szCs w:val="18"/>
                <w:color w:val="auto"/>
                <w:w w:val="97"/>
              </w:rPr>
              <w:t>10.6</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tcBorders>
              <w:bottom w:val="single" w:sz="8" w:color="0000EE"/>
            </w:tcBorders>
            <w:gridSpan w:val="30"/>
          </w:tcPr>
          <w:p>
            <w:pPr>
              <w:spacing w:after="0"/>
              <w:rPr>
                <w:rFonts w:ascii="Arial" w:cs="Arial" w:eastAsia="Arial" w:hAnsi="Arial"/>
                <w:sz w:val="18"/>
                <w:szCs w:val="18"/>
                <w:color w:val="0000EE"/>
                <w:w w:val="99"/>
              </w:rPr>
            </w:pPr>
            <w:hyperlink r:id="rId445">
              <w:r>
                <w:rPr>
                  <w:rFonts w:ascii="Arial" w:cs="Arial" w:eastAsia="Arial" w:hAnsi="Arial"/>
                  <w:sz w:val="18"/>
                  <w:szCs w:val="18"/>
                  <w:color w:val="0000EE"/>
                  <w:w w:val="99"/>
                </w:rPr>
                <w:t>English translation of the Fifth Supplemental Agreement to the Exclusive Technology Consulting and Management Service</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445">
              <w:r>
                <w:rPr>
                  <w:rFonts w:ascii="Arial" w:cs="Arial" w:eastAsia="Arial" w:hAnsi="Arial"/>
                  <w:sz w:val="18"/>
                  <w:szCs w:val="18"/>
                  <w:color w:val="0000EE"/>
                  <w:w w:val="99"/>
                </w:rPr>
                <w:t>Agreement dated March 12, 2021 between Shanghai Aihui and Shanghai Wanwuxinsheng</w:t>
              </w:r>
            </w:hyperlink>
          </w:p>
        </w:tc>
        <w:tc>
          <w:tcPr>
            <w:tcW w:w="2520" w:type="dxa"/>
            <w:vAlign w:val="bottom"/>
            <w:gridSpan w:val="13"/>
          </w:tcPr>
          <w:p>
            <w:pPr>
              <w:spacing w:after="0"/>
              <w:rPr>
                <w:sz w:val="15"/>
                <w:szCs w:val="15"/>
                <w:color w:val="auto"/>
              </w:rPr>
            </w:pPr>
          </w:p>
        </w:tc>
      </w:tr>
      <w:tr>
        <w:trPr>
          <w:trHeight w:val="290"/>
        </w:trPr>
        <w:tc>
          <w:tcPr>
            <w:tcW w:w="620" w:type="dxa"/>
            <w:vAlign w:val="bottom"/>
            <w:gridSpan w:val="2"/>
          </w:tcPr>
          <w:p>
            <w:pPr>
              <w:jc w:val="right"/>
              <w:ind w:right="114"/>
              <w:spacing w:after="0"/>
              <w:rPr>
                <w:sz w:val="20"/>
                <w:szCs w:val="20"/>
                <w:color w:val="auto"/>
              </w:rPr>
            </w:pPr>
            <w:r>
              <w:rPr>
                <w:rFonts w:ascii="Arial" w:cs="Arial" w:eastAsia="Arial" w:hAnsi="Arial"/>
                <w:sz w:val="18"/>
                <w:szCs w:val="18"/>
                <w:color w:val="auto"/>
                <w:w w:val="97"/>
              </w:rPr>
              <w:t>10.7</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160" w:type="dxa"/>
            <w:vAlign w:val="bottom"/>
            <w:tcBorders>
              <w:bottom w:val="single" w:sz="8" w:color="0000EE"/>
            </w:tcBorders>
            <w:gridSpan w:val="22"/>
          </w:tcPr>
          <w:p>
            <w:pPr>
              <w:spacing w:after="0"/>
              <w:rPr>
                <w:rFonts w:ascii="Arial" w:cs="Arial" w:eastAsia="Arial" w:hAnsi="Arial"/>
                <w:sz w:val="18"/>
                <w:szCs w:val="18"/>
                <w:color w:val="0000EE"/>
              </w:rPr>
            </w:pPr>
            <w:hyperlink r:id="rId446">
              <w:r>
                <w:rPr>
                  <w:rFonts w:ascii="Arial" w:cs="Arial" w:eastAsia="Arial" w:hAnsi="Arial"/>
                  <w:sz w:val="18"/>
                  <w:szCs w:val="18"/>
                  <w:color w:val="0000EE"/>
                </w:rPr>
                <w:t>English translation of the Business Operation Agreement dated August 31, 2012 among Shanghai Aihui, Shanghai</w:t>
              </w:r>
            </w:hyperlink>
          </w:p>
        </w:tc>
        <w:tc>
          <w:tcPr>
            <w:tcW w:w="560" w:type="dxa"/>
            <w:vAlign w:val="bottom"/>
            <w:gridSpan w:val="8"/>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446">
              <w:r>
                <w:rPr>
                  <w:rFonts w:ascii="Arial" w:cs="Arial" w:eastAsia="Arial" w:hAnsi="Arial"/>
                  <w:sz w:val="18"/>
                  <w:szCs w:val="18"/>
                  <w:color w:val="0000EE"/>
                  <w:w w:val="99"/>
                </w:rPr>
                <w:t>Wanwuxinsheng and the shareholders of Shanghai Wanwuxinsheng</w:t>
              </w:r>
            </w:hyperlink>
          </w:p>
        </w:tc>
        <w:tc>
          <w:tcPr>
            <w:tcW w:w="4280" w:type="dxa"/>
            <w:vAlign w:val="bottom"/>
            <w:gridSpan w:val="18"/>
          </w:tcPr>
          <w:p>
            <w:pPr>
              <w:spacing w:after="0"/>
              <w:rPr>
                <w:sz w:val="15"/>
                <w:szCs w:val="15"/>
                <w:color w:val="auto"/>
              </w:rPr>
            </w:pPr>
          </w:p>
        </w:tc>
      </w:tr>
      <w:tr>
        <w:trPr>
          <w:trHeight w:val="290"/>
        </w:trPr>
        <w:tc>
          <w:tcPr>
            <w:tcW w:w="620" w:type="dxa"/>
            <w:vAlign w:val="bottom"/>
            <w:gridSpan w:val="2"/>
          </w:tcPr>
          <w:p>
            <w:pPr>
              <w:jc w:val="right"/>
              <w:ind w:right="114"/>
              <w:spacing w:after="0"/>
              <w:rPr>
                <w:sz w:val="20"/>
                <w:szCs w:val="20"/>
                <w:color w:val="auto"/>
              </w:rPr>
            </w:pPr>
            <w:r>
              <w:rPr>
                <w:rFonts w:ascii="Arial" w:cs="Arial" w:eastAsia="Arial" w:hAnsi="Arial"/>
                <w:sz w:val="18"/>
                <w:szCs w:val="18"/>
                <w:color w:val="auto"/>
                <w:w w:val="97"/>
              </w:rPr>
              <w:t>10.8</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47">
              <w:r>
                <w:rPr>
                  <w:rFonts w:ascii="Arial" w:cs="Arial" w:eastAsia="Arial" w:hAnsi="Arial"/>
                  <w:sz w:val="18"/>
                  <w:szCs w:val="18"/>
                  <w:color w:val="0000EE"/>
                </w:rPr>
                <w:t>English translation of the Third Amended and Restated Option Purchase Agreement dated December 7, 2020 among</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447">
              <w:r>
                <w:rPr>
                  <w:rFonts w:ascii="Arial" w:cs="Arial" w:eastAsia="Arial" w:hAnsi="Arial"/>
                  <w:sz w:val="18"/>
                  <w:szCs w:val="18"/>
                  <w:color w:val="0000EE"/>
                </w:rPr>
                <w:t>Shanghai Aihui, Shanghai Wanwuxinsheng and Mr. Kerry Xuefeng Chen</w:t>
              </w:r>
            </w:hyperlink>
          </w:p>
        </w:tc>
        <w:tc>
          <w:tcPr>
            <w:tcW w:w="400" w:type="dxa"/>
            <w:vAlign w:val="bottom"/>
            <w:gridSpan w:val="7"/>
          </w:tcPr>
          <w:p>
            <w:pPr>
              <w:spacing w:after="0"/>
              <w:rPr>
                <w:sz w:val="15"/>
                <w:szCs w:val="15"/>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2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r>
      <w:tr>
        <w:trPr>
          <w:trHeight w:val="290"/>
        </w:trPr>
        <w:tc>
          <w:tcPr>
            <w:tcW w:w="620" w:type="dxa"/>
            <w:vAlign w:val="bottom"/>
            <w:gridSpan w:val="2"/>
          </w:tcPr>
          <w:p>
            <w:pPr>
              <w:jc w:val="right"/>
              <w:ind w:right="114"/>
              <w:spacing w:after="0"/>
              <w:rPr>
                <w:sz w:val="20"/>
                <w:szCs w:val="20"/>
                <w:color w:val="auto"/>
              </w:rPr>
            </w:pPr>
            <w:r>
              <w:rPr>
                <w:rFonts w:ascii="Arial" w:cs="Arial" w:eastAsia="Arial" w:hAnsi="Arial"/>
                <w:sz w:val="18"/>
                <w:szCs w:val="18"/>
                <w:color w:val="auto"/>
                <w:w w:val="97"/>
              </w:rPr>
              <w:t>10.9</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48">
              <w:r>
                <w:rPr>
                  <w:rFonts w:ascii="Arial" w:cs="Arial" w:eastAsia="Arial" w:hAnsi="Arial"/>
                  <w:sz w:val="18"/>
                  <w:szCs w:val="18"/>
                  <w:color w:val="0000EE"/>
                </w:rPr>
                <w:t>English translation of the Third Amended and Restated Option Purchase Agreement dated December 7, 2020 among</w:t>
              </w:r>
            </w:hyperlink>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12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r:id="rId448">
              <w:r>
                <w:rPr>
                  <w:rFonts w:ascii="Arial" w:cs="Arial" w:eastAsia="Arial" w:hAnsi="Arial"/>
                  <w:sz w:val="18"/>
                  <w:szCs w:val="18"/>
                  <w:color w:val="0000EE"/>
                  <w:w w:val="99"/>
                </w:rPr>
                <w:t>Shanghai Aihui, Shanghai Wanwuxinsheng and Mr. Wenjun Sun</w:t>
              </w:r>
            </w:hyperlink>
          </w:p>
        </w:tc>
        <w:tc>
          <w:tcPr>
            <w:tcW w:w="4200" w:type="dxa"/>
            <w:vAlign w:val="bottom"/>
            <w:tcBorders>
              <w:top w:val="single" w:sz="8" w:color="0000EE"/>
            </w:tcBorders>
            <w:gridSpan w:val="13"/>
          </w:tcPr>
          <w:p>
            <w:pPr>
              <w:spacing w:after="0"/>
              <w:rPr>
                <w:sz w:val="15"/>
                <w:szCs w:val="15"/>
                <w:color w:val="auto"/>
              </w:rPr>
            </w:pPr>
          </w:p>
        </w:tc>
        <w:tc>
          <w:tcPr>
            <w:tcW w:w="400" w:type="dxa"/>
            <w:vAlign w:val="bottom"/>
            <w:gridSpan w:val="7"/>
          </w:tcPr>
          <w:p>
            <w:pPr>
              <w:spacing w:after="0"/>
              <w:rPr>
                <w:sz w:val="15"/>
                <w:szCs w:val="15"/>
                <w:color w:val="auto"/>
              </w:rPr>
            </w:pPr>
          </w:p>
        </w:tc>
      </w:tr>
      <w:tr>
        <w:trPr>
          <w:trHeight w:val="291"/>
        </w:trPr>
        <w:tc>
          <w:tcPr>
            <w:tcW w:w="620" w:type="dxa"/>
            <w:vAlign w:val="bottom"/>
            <w:gridSpan w:val="2"/>
          </w:tcPr>
          <w:p>
            <w:pPr>
              <w:jc w:val="right"/>
              <w:ind w:right="14"/>
              <w:spacing w:after="0"/>
              <w:rPr>
                <w:sz w:val="20"/>
                <w:szCs w:val="20"/>
                <w:color w:val="auto"/>
              </w:rPr>
            </w:pPr>
            <w:r>
              <w:rPr>
                <w:rFonts w:ascii="Arial" w:cs="Arial" w:eastAsia="Arial" w:hAnsi="Arial"/>
                <w:sz w:val="18"/>
                <w:szCs w:val="18"/>
                <w:color w:val="auto"/>
                <w:w w:val="97"/>
              </w:rPr>
              <w:t>10.10</w:t>
            </w:r>
            <w:r>
              <w:rPr>
                <w:rFonts w:ascii="Arial" w:cs="Arial" w:eastAsia="Arial" w:hAnsi="Arial"/>
                <w:sz w:val="11"/>
                <w:szCs w:val="11"/>
                <w:color w:val="auto"/>
                <w:w w:val="97"/>
              </w:rPr>
              <w:t>†</w:t>
            </w:r>
          </w:p>
        </w:tc>
        <w:tc>
          <w:tcPr>
            <w:tcW w:w="480" w:type="dxa"/>
            <w:vAlign w:val="bottom"/>
          </w:tcPr>
          <w:p>
            <w:pPr>
              <w:spacing w:after="0"/>
              <w:rPr>
                <w:sz w:val="24"/>
                <w:szCs w:val="24"/>
                <w:color w:val="auto"/>
              </w:rPr>
            </w:pPr>
          </w:p>
        </w:tc>
        <w:tc>
          <w:tcPr>
            <w:tcW w:w="9720" w:type="dxa"/>
            <w:vAlign w:val="bottom"/>
            <w:gridSpan w:val="30"/>
          </w:tcPr>
          <w:p>
            <w:pPr>
              <w:spacing w:after="0"/>
              <w:rPr>
                <w:rFonts w:ascii="Arial" w:cs="Arial" w:eastAsia="Arial" w:hAnsi="Arial"/>
                <w:sz w:val="18"/>
                <w:szCs w:val="18"/>
                <w:color w:val="0000EE"/>
              </w:rPr>
            </w:pPr>
            <w:hyperlink r:id="rId449">
              <w:r>
                <w:rPr>
                  <w:rFonts w:ascii="Arial" w:cs="Arial" w:eastAsia="Arial" w:hAnsi="Arial"/>
                  <w:sz w:val="18"/>
                  <w:szCs w:val="18"/>
                  <w:color w:val="0000EE"/>
                </w:rPr>
                <w:t>English translation of the Third Amended and Restated Share Pledge Agreement dated December 7, 2020 among</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12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449">
              <w:r>
                <w:rPr>
                  <w:rFonts w:ascii="Arial" w:cs="Arial" w:eastAsia="Arial" w:hAnsi="Arial"/>
                  <w:sz w:val="18"/>
                  <w:szCs w:val="18"/>
                  <w:color w:val="0000EE"/>
                </w:rPr>
                <w:t>Shanghai Aihui and the shareholders of Shanghai Wanwuxinsheng</w:t>
              </w:r>
            </w:hyperlink>
          </w:p>
        </w:tc>
        <w:tc>
          <w:tcPr>
            <w:tcW w:w="600" w:type="dxa"/>
            <w:vAlign w:val="bottom"/>
            <w:gridSpan w:val="9"/>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40"/>
          </w:cols>
          <w:pgMar w:left="320" w:top="459" w:right="6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Description of Document</w:t>
            </w:r>
          </w:p>
        </w:tc>
        <w:tc>
          <w:tcPr>
            <w:tcW w:w="4080" w:type="dxa"/>
            <w:vAlign w:val="bottom"/>
            <w:gridSpan w:val="17"/>
          </w:tcPr>
          <w:p>
            <w:pPr>
              <w:spacing w:after="0"/>
              <w:rPr>
                <w:sz w:val="15"/>
                <w:szCs w:val="15"/>
                <w:color w:val="auto"/>
              </w:rPr>
            </w:pP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Arial" w:cs="Arial" w:eastAsia="Arial" w:hAnsi="Arial"/>
                <w:sz w:val="18"/>
                <w:szCs w:val="18"/>
                <w:color w:val="0000EE"/>
              </w:rPr>
            </w:pPr>
            <w:hyperlink r:id="rId451">
              <w:r>
                <w:rPr>
                  <w:rFonts w:ascii="Arial" w:cs="Arial" w:eastAsia="Arial" w:hAnsi="Arial"/>
                  <w:sz w:val="18"/>
                  <w:szCs w:val="18"/>
                  <w:color w:val="0000EE"/>
                </w:rPr>
                <w:t>English translation of the Voting Proxy Agreement dated August 31, 2012 among Shanghai Aihui, Shanghai</w:t>
              </w:r>
            </w:hyperlink>
          </w:p>
        </w:tc>
        <w:tc>
          <w:tcPr>
            <w:tcW w:w="1300" w:type="dxa"/>
            <w:vAlign w:val="bottom"/>
            <w:gridSpan w:val="15"/>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451">
              <w:r>
                <w:rPr>
                  <w:rFonts w:ascii="Arial" w:cs="Arial" w:eastAsia="Arial" w:hAnsi="Arial"/>
                  <w:sz w:val="18"/>
                  <w:szCs w:val="18"/>
                  <w:color w:val="0000EE"/>
                  <w:w w:val="99"/>
                </w:rPr>
                <w:t>Wanwuxinsheng and the shareholders of Shanghai Wanwuxinsheng</w:t>
              </w:r>
            </w:hyperlink>
          </w:p>
        </w:tc>
        <w:tc>
          <w:tcPr>
            <w:tcW w:w="4460" w:type="dxa"/>
            <w:vAlign w:val="bottom"/>
            <w:gridSpan w:val="18"/>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40" w:type="dxa"/>
            <w:vAlign w:val="bottom"/>
            <w:tcBorders>
              <w:bottom w:val="single" w:sz="8" w:color="0000EE"/>
            </w:tcBorders>
            <w:gridSpan w:val="25"/>
          </w:tcPr>
          <w:p>
            <w:pPr>
              <w:spacing w:after="0"/>
              <w:rPr>
                <w:rFonts w:ascii="Arial" w:cs="Arial" w:eastAsia="Arial" w:hAnsi="Arial"/>
                <w:sz w:val="18"/>
                <w:szCs w:val="18"/>
                <w:color w:val="0000EE"/>
                <w:w w:val="99"/>
              </w:rPr>
            </w:pPr>
            <w:hyperlink r:id="rId452">
              <w:r>
                <w:rPr>
                  <w:rFonts w:ascii="Arial" w:cs="Arial" w:eastAsia="Arial" w:hAnsi="Arial"/>
                  <w:sz w:val="18"/>
                  <w:szCs w:val="18"/>
                  <w:color w:val="0000EE"/>
                  <w:w w:val="99"/>
                </w:rPr>
                <w:t>English translation of the Amended and Restated Power of Attorney dated March 12, 2021 executed by Mr. Kerry Xuefeng</w:t>
              </w:r>
            </w:hyperlink>
          </w:p>
        </w:tc>
        <w:tc>
          <w:tcPr>
            <w:tcW w:w="160" w:type="dxa"/>
            <w:vAlign w:val="bottom"/>
            <w:gridSpan w:val="5"/>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Borders>
              <w:bottom w:val="single" w:sz="8" w:color="0000EE"/>
            </w:tcBorders>
          </w:tcPr>
          <w:p>
            <w:pPr>
              <w:spacing w:after="0" w:line="182" w:lineRule="exact"/>
              <w:rPr>
                <w:rFonts w:ascii="Arial" w:cs="Arial" w:eastAsia="Arial" w:hAnsi="Arial"/>
                <w:sz w:val="18"/>
                <w:szCs w:val="18"/>
                <w:color w:val="0000EE"/>
                <w:w w:val="97"/>
              </w:rPr>
            </w:pPr>
            <w:hyperlink r:id="rId452">
              <w:r>
                <w:rPr>
                  <w:rFonts w:ascii="Arial" w:cs="Arial" w:eastAsia="Arial" w:hAnsi="Arial"/>
                  <w:sz w:val="18"/>
                  <w:szCs w:val="18"/>
                  <w:color w:val="0000EE"/>
                  <w:w w:val="97"/>
                </w:rPr>
                <w:t>Chen</w:t>
              </w:r>
            </w:hyperlink>
          </w:p>
        </w:tc>
        <w:tc>
          <w:tcPr>
            <w:tcW w:w="9460" w:type="dxa"/>
            <w:vAlign w:val="bottom"/>
            <w:gridSpan w:val="29"/>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900" w:type="dxa"/>
            <w:vAlign w:val="bottom"/>
            <w:gridSpan w:val="30"/>
          </w:tcPr>
          <w:p>
            <w:pPr>
              <w:spacing w:after="0"/>
              <w:rPr>
                <w:rFonts w:ascii="Arial" w:cs="Arial" w:eastAsia="Arial" w:hAnsi="Arial"/>
                <w:sz w:val="18"/>
                <w:szCs w:val="18"/>
                <w:color w:val="0000EE"/>
              </w:rPr>
            </w:pPr>
            <w:hyperlink r:id="rId453">
              <w:r>
                <w:rPr>
                  <w:rFonts w:ascii="Arial" w:cs="Arial" w:eastAsia="Arial" w:hAnsi="Arial"/>
                  <w:sz w:val="18"/>
                  <w:szCs w:val="18"/>
                  <w:color w:val="0000EE"/>
                </w:rPr>
                <w:t>English translation of the Amended and Restated Power of Attorney dated March 12, 2021 executed by Mr. Wenjun Sun</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560" w:type="dxa"/>
            <w:vAlign w:val="bottom"/>
            <w:tcBorders>
              <w:bottom w:val="single" w:sz="8" w:color="0000EE"/>
            </w:tcBorders>
            <w:gridSpan w:val="21"/>
          </w:tcPr>
          <w:p>
            <w:pPr>
              <w:spacing w:after="0"/>
              <w:rPr>
                <w:rFonts w:ascii="Arial" w:cs="Arial" w:eastAsia="Arial" w:hAnsi="Arial"/>
                <w:sz w:val="18"/>
                <w:szCs w:val="18"/>
                <w:color w:val="0000EE"/>
                <w:w w:val="99"/>
              </w:rPr>
            </w:pPr>
            <w:hyperlink r:id="rId454">
              <w:r>
                <w:rPr>
                  <w:rFonts w:ascii="Arial" w:cs="Arial" w:eastAsia="Arial" w:hAnsi="Arial"/>
                  <w:sz w:val="18"/>
                  <w:szCs w:val="18"/>
                  <w:color w:val="0000EE"/>
                  <w:w w:val="99"/>
                </w:rPr>
                <w:t>English translation of the Exclusive Business Cooperation Agreement between Shanghai Aihui and Shenzhen Lvchuang</w:t>
              </w:r>
            </w:hyperlink>
          </w:p>
        </w:tc>
        <w:tc>
          <w:tcPr>
            <w:tcW w:w="340" w:type="dxa"/>
            <w:vAlign w:val="bottom"/>
            <w:gridSpan w:val="9"/>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54">
              <w:r>
                <w:rPr>
                  <w:rFonts w:ascii="Arial" w:cs="Arial" w:eastAsia="Arial" w:hAnsi="Arial"/>
                  <w:sz w:val="18"/>
                  <w:szCs w:val="18"/>
                  <w:color w:val="0000EE"/>
                </w:rPr>
                <w:t>dated June 19, 2019</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rPr>
            </w:pPr>
            <w:hyperlink r:id="rId455">
              <w:r>
                <w:rPr>
                  <w:rFonts w:ascii="Arial" w:cs="Arial" w:eastAsia="Arial" w:hAnsi="Arial"/>
                  <w:sz w:val="18"/>
                  <w:szCs w:val="18"/>
                  <w:color w:val="0000EE"/>
                </w:rPr>
                <w:t>English translation of the Share Pledge Agreement among Shanghai Aihui, Shenzhen Lvchuang and the shareholder of</w:t>
              </w:r>
            </w:hyperlink>
          </w:p>
        </w:tc>
        <w:tc>
          <w:tcPr>
            <w:tcW w:w="360" w:type="dxa"/>
            <w:vAlign w:val="bottom"/>
            <w:gridSpan w:val="10"/>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55">
              <w:r>
                <w:rPr>
                  <w:rFonts w:ascii="Arial" w:cs="Arial" w:eastAsia="Arial" w:hAnsi="Arial"/>
                  <w:sz w:val="18"/>
                  <w:szCs w:val="18"/>
                  <w:color w:val="0000EE"/>
                </w:rPr>
                <w:t>Shenzhen Lvchuang dated June 19, 2019,</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360" w:type="dxa"/>
            <w:vAlign w:val="bottom"/>
            <w:tcBorders>
              <w:bottom w:val="single" w:sz="8" w:color="0000EE"/>
            </w:tcBorders>
            <w:gridSpan w:val="18"/>
          </w:tcPr>
          <w:p>
            <w:pPr>
              <w:spacing w:after="0"/>
              <w:rPr>
                <w:rFonts w:ascii="Arial" w:cs="Arial" w:eastAsia="Arial" w:hAnsi="Arial"/>
                <w:sz w:val="18"/>
                <w:szCs w:val="18"/>
                <w:color w:val="0000EE"/>
                <w:w w:val="99"/>
              </w:rPr>
            </w:pPr>
            <w:hyperlink r:id="rId456">
              <w:r>
                <w:rPr>
                  <w:rFonts w:ascii="Arial" w:cs="Arial" w:eastAsia="Arial" w:hAnsi="Arial"/>
                  <w:sz w:val="18"/>
                  <w:szCs w:val="18"/>
                  <w:color w:val="0000EE"/>
                  <w:w w:val="99"/>
                </w:rPr>
                <w:t>English translation of the Exclusive Option Purchase Agreement among Shanghai Aihui, Shenzhen Lvchuang and the</w:t>
              </w:r>
            </w:hyperlink>
          </w:p>
        </w:tc>
        <w:tc>
          <w:tcPr>
            <w:tcW w:w="540" w:type="dxa"/>
            <w:vAlign w:val="bottom"/>
            <w:gridSpan w:val="12"/>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56">
              <w:r>
                <w:rPr>
                  <w:rFonts w:ascii="Arial" w:cs="Arial" w:eastAsia="Arial" w:hAnsi="Arial"/>
                  <w:sz w:val="18"/>
                  <w:szCs w:val="18"/>
                  <w:color w:val="0000EE"/>
                </w:rPr>
                <w:t>shareholder of Shenzhen Lvchuang dated June 19, 2019,</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900" w:type="dxa"/>
            <w:vAlign w:val="bottom"/>
            <w:gridSpan w:val="30"/>
          </w:tcPr>
          <w:p>
            <w:pPr>
              <w:spacing w:after="0"/>
              <w:rPr>
                <w:rFonts w:ascii="Arial" w:cs="Arial" w:eastAsia="Arial" w:hAnsi="Arial"/>
                <w:sz w:val="18"/>
                <w:szCs w:val="18"/>
                <w:color w:val="0000EE"/>
              </w:rPr>
            </w:pPr>
            <w:hyperlink r:id="rId457">
              <w:r>
                <w:rPr>
                  <w:rFonts w:ascii="Arial" w:cs="Arial" w:eastAsia="Arial" w:hAnsi="Arial"/>
                  <w:sz w:val="18"/>
                  <w:szCs w:val="18"/>
                  <w:color w:val="0000EE"/>
                </w:rPr>
                <w:t>English translation of the Power of Attorney executed by the shareholder of Shenzhen Lvchuang on June 19, 2019</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600" w:type="dxa"/>
            <w:vAlign w:val="bottom"/>
            <w:tcBorders>
              <w:bottom w:val="single" w:sz="8" w:color="0000EE"/>
            </w:tcBorders>
            <w:gridSpan w:val="22"/>
          </w:tcPr>
          <w:p>
            <w:pPr>
              <w:spacing w:after="0"/>
              <w:rPr>
                <w:rFonts w:ascii="Arial" w:cs="Arial" w:eastAsia="Arial" w:hAnsi="Arial"/>
                <w:sz w:val="18"/>
                <w:szCs w:val="18"/>
                <w:color w:val="0000EE"/>
                <w:w w:val="99"/>
              </w:rPr>
            </w:pPr>
            <w:hyperlink r:id="rId458">
              <w:r>
                <w:rPr>
                  <w:rFonts w:ascii="Arial" w:cs="Arial" w:eastAsia="Arial" w:hAnsi="Arial"/>
                  <w:sz w:val="18"/>
                  <w:szCs w:val="18"/>
                  <w:color w:val="0000EE"/>
                  <w:w w:val="99"/>
                </w:rPr>
                <w:t>Amended and Restated Business Cooperation Agreement dated April 20, 2021 between JD.com, Inc. and the Registrant</w:t>
              </w:r>
            </w:hyperlink>
          </w:p>
        </w:tc>
        <w:tc>
          <w:tcPr>
            <w:tcW w:w="300" w:type="dxa"/>
            <w:vAlign w:val="bottom"/>
            <w:gridSpan w:val="8"/>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60" w:type="dxa"/>
            <w:vAlign w:val="bottom"/>
            <w:tcBorders>
              <w:bottom w:val="single" w:sz="8" w:color="0000EE"/>
            </w:tcBorders>
            <w:gridSpan w:val="26"/>
          </w:tcPr>
          <w:p>
            <w:pPr>
              <w:spacing w:after="0"/>
              <w:rPr>
                <w:rFonts w:ascii="Arial" w:cs="Arial" w:eastAsia="Arial" w:hAnsi="Arial"/>
                <w:sz w:val="18"/>
                <w:szCs w:val="18"/>
                <w:color w:val="0000EE"/>
                <w:w w:val="99"/>
              </w:rPr>
            </w:pPr>
            <w:hyperlink r:id="rId459">
              <w:r>
                <w:rPr>
                  <w:rFonts w:ascii="Arial" w:cs="Arial" w:eastAsia="Arial" w:hAnsi="Arial"/>
                  <w:sz w:val="18"/>
                  <w:szCs w:val="18"/>
                  <w:color w:val="0000EE"/>
                  <w:w w:val="99"/>
                </w:rPr>
                <w:t>Series E Preferred Share Purchase Agreement dated June 3, 2019 among Generation Mu HK Investment Limited, Internet</w:t>
              </w:r>
            </w:hyperlink>
          </w:p>
        </w:tc>
        <w:tc>
          <w:tcPr>
            <w:tcW w:w="140" w:type="dxa"/>
            <w:vAlign w:val="bottom"/>
            <w:gridSpan w:val="4"/>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6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r:id="rId459">
              <w:r>
                <w:rPr>
                  <w:rFonts w:ascii="Arial" w:cs="Arial" w:eastAsia="Arial" w:hAnsi="Arial"/>
                  <w:sz w:val="18"/>
                  <w:szCs w:val="18"/>
                  <w:color w:val="0000EE"/>
                  <w:w w:val="99"/>
                </w:rPr>
                <w:t>Fund IV Pte. Ltd., Tiantu China Consumer Fund II, L.P., Fresh Capital Fund I, L.P. and Morningside China TMT Fund II, L.P.,</w:t>
              </w:r>
            </w:hyperlink>
          </w:p>
        </w:tc>
        <w:tc>
          <w:tcPr>
            <w:tcW w:w="40" w:type="dxa"/>
            <w:vAlign w:val="bottom"/>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459">
              <w:r>
                <w:rPr>
                  <w:rFonts w:ascii="Arial" w:cs="Arial" w:eastAsia="Arial" w:hAnsi="Arial"/>
                  <w:sz w:val="18"/>
                  <w:szCs w:val="18"/>
                  <w:color w:val="0000EE"/>
                  <w:w w:val="99"/>
                </w:rPr>
                <w:t>the Registrant and other parties thereto</w:t>
              </w:r>
            </w:hyperlink>
          </w:p>
        </w:tc>
        <w:tc>
          <w:tcPr>
            <w:tcW w:w="6760" w:type="dxa"/>
            <w:vAlign w:val="bottom"/>
            <w:gridSpan w:val="25"/>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800" w:type="dxa"/>
            <w:vAlign w:val="bottom"/>
            <w:tcBorders>
              <w:bottom w:val="single" w:sz="8" w:color="0000EE"/>
            </w:tcBorders>
            <w:gridSpan w:val="27"/>
          </w:tcPr>
          <w:p>
            <w:pPr>
              <w:spacing w:after="0"/>
              <w:rPr>
                <w:rFonts w:ascii="Arial" w:cs="Arial" w:eastAsia="Arial" w:hAnsi="Arial"/>
                <w:sz w:val="18"/>
                <w:szCs w:val="18"/>
                <w:color w:val="0000EE"/>
                <w:w w:val="99"/>
              </w:rPr>
            </w:pPr>
            <w:hyperlink r:id="rId460">
              <w:r>
                <w:rPr>
                  <w:rFonts w:ascii="Arial" w:cs="Arial" w:eastAsia="Arial" w:hAnsi="Arial"/>
                  <w:sz w:val="18"/>
                  <w:szCs w:val="18"/>
                  <w:color w:val="0000EE"/>
                  <w:w w:val="99"/>
                </w:rPr>
                <w:t>Series E Preferred Share Purchase Agreement dated June 3, 2019 among JD.com, Inc., JD.com Development Limited, the</w:t>
              </w:r>
            </w:hyperlink>
          </w:p>
        </w:tc>
        <w:tc>
          <w:tcPr>
            <w:tcW w:w="100" w:type="dxa"/>
            <w:vAlign w:val="bottom"/>
            <w:gridSpan w:val="3"/>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460">
              <w:r>
                <w:rPr>
                  <w:rFonts w:ascii="Arial" w:cs="Arial" w:eastAsia="Arial" w:hAnsi="Arial"/>
                  <w:sz w:val="18"/>
                  <w:szCs w:val="18"/>
                  <w:color w:val="0000EE"/>
                  <w:w w:val="99"/>
                </w:rPr>
                <w:t>Registrant and other parties thereto</w:t>
              </w:r>
            </w:hyperlink>
          </w:p>
        </w:tc>
        <w:tc>
          <w:tcPr>
            <w:tcW w:w="7060" w:type="dxa"/>
            <w:vAlign w:val="bottom"/>
            <w:gridSpan w:val="26"/>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620" w:type="dxa"/>
            <w:vAlign w:val="bottom"/>
            <w:tcBorders>
              <w:bottom w:val="single" w:sz="8" w:color="0000EE"/>
            </w:tcBorders>
            <w:gridSpan w:val="23"/>
          </w:tcPr>
          <w:p>
            <w:pPr>
              <w:spacing w:after="0"/>
              <w:rPr>
                <w:rFonts w:ascii="Arial" w:cs="Arial" w:eastAsia="Arial" w:hAnsi="Arial"/>
                <w:sz w:val="18"/>
                <w:szCs w:val="18"/>
                <w:color w:val="0000EE"/>
                <w:w w:val="99"/>
              </w:rPr>
            </w:pPr>
            <w:hyperlink r:id="rId461">
              <w:r>
                <w:rPr>
                  <w:rFonts w:ascii="Arial" w:cs="Arial" w:eastAsia="Arial" w:hAnsi="Arial"/>
                  <w:sz w:val="18"/>
                  <w:szCs w:val="18"/>
                  <w:color w:val="0000EE"/>
                  <w:w w:val="99"/>
                </w:rPr>
                <w:t>Follow-on Series E Preferred Share Purchase Agreement dated September 4, 2020 among Guotai Junan Finance (Hong</w:t>
              </w:r>
            </w:hyperlink>
          </w:p>
        </w:tc>
        <w:tc>
          <w:tcPr>
            <w:tcW w:w="280" w:type="dxa"/>
            <w:vAlign w:val="bottom"/>
            <w:gridSpan w:val="7"/>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61">
              <w:r>
                <w:rPr>
                  <w:rFonts w:ascii="Arial" w:cs="Arial" w:eastAsia="Arial" w:hAnsi="Arial"/>
                  <w:sz w:val="18"/>
                  <w:szCs w:val="18"/>
                  <w:color w:val="0000EE"/>
                </w:rPr>
                <w:t>Kong) Limited, JD.com Development Limited, Tianjin Huihe Haihe Intelligent Logistics Industry Fund Partnership (Limited</w:t>
              </w:r>
            </w:hyperlink>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r:id="rId461">
              <w:r>
                <w:rPr>
                  <w:rFonts w:ascii="Arial" w:cs="Arial" w:eastAsia="Arial" w:hAnsi="Arial"/>
                  <w:sz w:val="18"/>
                  <w:szCs w:val="18"/>
                  <w:color w:val="0000EE"/>
                  <w:w w:val="99"/>
                </w:rPr>
                <w:t>Partnership), Shanghai Zhengmu Investment Center (Limited Partnership) and Ningbo Qingyu Investment Management Co.,</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54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461">
              <w:r>
                <w:rPr>
                  <w:rFonts w:ascii="Arial" w:cs="Arial" w:eastAsia="Arial" w:hAnsi="Arial"/>
                  <w:sz w:val="18"/>
                  <w:szCs w:val="18"/>
                  <w:color w:val="0000EE"/>
                  <w:w w:val="99"/>
                </w:rPr>
                <w:t>Ltd., the Registrant and other parties thereto</w:t>
              </w:r>
            </w:hyperlink>
          </w:p>
        </w:tc>
        <w:tc>
          <w:tcPr>
            <w:tcW w:w="6360" w:type="dxa"/>
            <w:vAlign w:val="bottom"/>
            <w:gridSpan w:val="23"/>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900" w:type="dxa"/>
            <w:vAlign w:val="bottom"/>
            <w:gridSpan w:val="30"/>
          </w:tcPr>
          <w:p>
            <w:pPr>
              <w:spacing w:after="0"/>
              <w:rPr>
                <w:rFonts w:ascii="Arial" w:cs="Arial" w:eastAsia="Arial" w:hAnsi="Arial"/>
                <w:sz w:val="18"/>
                <w:szCs w:val="18"/>
                <w:color w:val="0000EE"/>
              </w:rPr>
            </w:pPr>
            <w:hyperlink r:id="rId462">
              <w:r>
                <w:rPr>
                  <w:rFonts w:ascii="Arial" w:cs="Arial" w:eastAsia="Arial" w:hAnsi="Arial"/>
                  <w:sz w:val="18"/>
                  <w:szCs w:val="18"/>
                  <w:color w:val="0000EE"/>
                </w:rPr>
                <w:t>Convertible Loan Agreement dated September 4, 2020 among Tianjin Huihe Haihe Intelligent Logistics Industry Fund</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3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r:id="rId462">
              <w:r>
                <w:rPr>
                  <w:rFonts w:ascii="Arial" w:cs="Arial" w:eastAsia="Arial" w:hAnsi="Arial"/>
                  <w:sz w:val="18"/>
                  <w:szCs w:val="18"/>
                  <w:color w:val="0000EE"/>
                </w:rPr>
                <w:t>Partnership (Limited Partnership), Shanghai Wanwuxinsheng and the Registrant</w:t>
              </w:r>
            </w:hyperlink>
          </w:p>
        </w:tc>
        <w:tc>
          <w:tcPr>
            <w:tcW w:w="600" w:type="dxa"/>
            <w:vAlign w:val="bottom"/>
            <w:gridSpan w:val="13"/>
          </w:tcPr>
          <w:p>
            <w:pPr>
              <w:spacing w:after="0"/>
              <w:rPr>
                <w:sz w:val="15"/>
                <w:szCs w:val="15"/>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840" w:type="dxa"/>
            <w:vAlign w:val="bottom"/>
            <w:tcBorders>
              <w:bottom w:val="single" w:sz="8" w:color="0000EE"/>
            </w:tcBorders>
            <w:gridSpan w:val="28"/>
          </w:tcPr>
          <w:p>
            <w:pPr>
              <w:spacing w:after="0"/>
              <w:rPr>
                <w:rFonts w:ascii="Arial" w:cs="Arial" w:eastAsia="Arial" w:hAnsi="Arial"/>
                <w:sz w:val="18"/>
                <w:szCs w:val="18"/>
                <w:color w:val="0000EE"/>
                <w:w w:val="99"/>
              </w:rPr>
            </w:pPr>
            <w:hyperlink r:id="rId463">
              <w:r>
                <w:rPr>
                  <w:rFonts w:ascii="Arial" w:cs="Arial" w:eastAsia="Arial" w:hAnsi="Arial"/>
                  <w:sz w:val="18"/>
                  <w:szCs w:val="18"/>
                  <w:color w:val="0000EE"/>
                  <w:w w:val="99"/>
                </w:rPr>
                <w:t>Convertible Loan Agreement dated September 4, 2020 among Shanghai Zhengmu Investment Center (Limited Partnership)</w:t>
              </w:r>
            </w:hyperlink>
          </w:p>
        </w:tc>
        <w:tc>
          <w:tcPr>
            <w:tcW w:w="60" w:type="dxa"/>
            <w:vAlign w:val="bottom"/>
            <w:gridSpan w:val="2"/>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63">
              <w:r>
                <w:rPr>
                  <w:rFonts w:ascii="Arial" w:cs="Arial" w:eastAsia="Arial" w:hAnsi="Arial"/>
                  <w:sz w:val="18"/>
                  <w:szCs w:val="18"/>
                  <w:color w:val="0000EE"/>
                </w:rPr>
                <w:t>Shanghai Wanwuxinsheng and the Registrant</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840" w:type="dxa"/>
            <w:vAlign w:val="bottom"/>
            <w:tcBorders>
              <w:bottom w:val="single" w:sz="8" w:color="0000EE"/>
            </w:tcBorders>
            <w:gridSpan w:val="28"/>
          </w:tcPr>
          <w:p>
            <w:pPr>
              <w:spacing w:after="0"/>
              <w:rPr>
                <w:rFonts w:ascii="Arial" w:cs="Arial" w:eastAsia="Arial" w:hAnsi="Arial"/>
                <w:sz w:val="18"/>
                <w:szCs w:val="18"/>
                <w:color w:val="0000EE"/>
                <w:w w:val="99"/>
              </w:rPr>
            </w:pPr>
            <w:hyperlink r:id="rId464">
              <w:r>
                <w:rPr>
                  <w:rFonts w:ascii="Arial" w:cs="Arial" w:eastAsia="Arial" w:hAnsi="Arial"/>
                  <w:sz w:val="18"/>
                  <w:szCs w:val="18"/>
                  <w:color w:val="0000EE"/>
                  <w:w w:val="99"/>
                </w:rPr>
                <w:t>Convertible Loan Agreement dated September 4, 2020 among Ningbo Qingyu Investment Management Co., Ltd., Shanghai</w:t>
              </w:r>
            </w:hyperlink>
          </w:p>
        </w:tc>
        <w:tc>
          <w:tcPr>
            <w:tcW w:w="60" w:type="dxa"/>
            <w:vAlign w:val="bottom"/>
            <w:gridSpan w:val="2"/>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464">
              <w:r>
                <w:rPr>
                  <w:rFonts w:ascii="Arial" w:cs="Arial" w:eastAsia="Arial" w:hAnsi="Arial"/>
                  <w:sz w:val="18"/>
                  <w:szCs w:val="18"/>
                  <w:color w:val="0000EE"/>
                  <w:w w:val="99"/>
                </w:rPr>
                <w:t>Wanwuxinsheng and the Registrant</w:t>
              </w:r>
            </w:hyperlink>
          </w:p>
        </w:tc>
        <w:tc>
          <w:tcPr>
            <w:tcW w:w="7060" w:type="dxa"/>
            <w:vAlign w:val="bottom"/>
            <w:gridSpan w:val="26"/>
          </w:tcPr>
          <w:p>
            <w:pPr>
              <w:spacing w:after="0"/>
              <w:rPr>
                <w:sz w:val="15"/>
                <w:szCs w:val="15"/>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10.25</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720" w:type="dxa"/>
            <w:vAlign w:val="bottom"/>
            <w:tcBorders>
              <w:bottom w:val="single" w:sz="8" w:color="0000EE"/>
            </w:tcBorders>
            <w:gridSpan w:val="24"/>
          </w:tcPr>
          <w:p>
            <w:pPr>
              <w:spacing w:after="0"/>
              <w:rPr>
                <w:rFonts w:ascii="Arial" w:cs="Arial" w:eastAsia="Arial" w:hAnsi="Arial"/>
                <w:sz w:val="18"/>
                <w:szCs w:val="18"/>
                <w:color w:val="0000EE"/>
                <w:w w:val="99"/>
              </w:rPr>
            </w:pPr>
            <w:hyperlink r:id="rId465">
              <w:r>
                <w:rPr>
                  <w:rFonts w:ascii="Arial" w:cs="Arial" w:eastAsia="Arial" w:hAnsi="Arial"/>
                  <w:sz w:val="18"/>
                  <w:szCs w:val="18"/>
                  <w:color w:val="0000EE"/>
                  <w:w w:val="99"/>
                </w:rPr>
                <w:t>Amendment to the Follow-On Series E Preferred Share Purchase Agreement dated as of November 19, 2020 among Zibo</w:t>
              </w:r>
            </w:hyperlink>
          </w:p>
        </w:tc>
        <w:tc>
          <w:tcPr>
            <w:tcW w:w="180" w:type="dxa"/>
            <w:vAlign w:val="bottom"/>
            <w:gridSpan w:val="6"/>
          </w:tcPr>
          <w:p>
            <w:pPr>
              <w:spacing w:after="0"/>
              <w:rPr>
                <w:sz w:val="24"/>
                <w:szCs w:val="24"/>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r:id="rId465">
              <w:r>
                <w:rPr>
                  <w:rFonts w:ascii="Arial" w:cs="Arial" w:eastAsia="Arial" w:hAnsi="Arial"/>
                  <w:sz w:val="18"/>
                  <w:szCs w:val="18"/>
                  <w:color w:val="0000EE"/>
                  <w:w w:val="99"/>
                </w:rPr>
                <w:t>Minsheng Ouming Equity Investment Partnership (Limited Partnership), Guotai Junan Finance (Hong Kong) Limited, JD.com</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65">
              <w:r>
                <w:rPr>
                  <w:rFonts w:ascii="Arial" w:cs="Arial" w:eastAsia="Arial" w:hAnsi="Arial"/>
                  <w:sz w:val="18"/>
                  <w:szCs w:val="18"/>
                  <w:color w:val="0000EE"/>
                </w:rPr>
                <w:t>Development Limited, Tianjin Huihe Haihe Intelligent Logistics Industry Fund Partnership (Limited Partnership), Shanghai</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9"/>
              </w:rPr>
            </w:pPr>
            <w:hyperlink r:id="rId465">
              <w:r>
                <w:rPr>
                  <w:rFonts w:ascii="Arial" w:cs="Arial" w:eastAsia="Arial" w:hAnsi="Arial"/>
                  <w:sz w:val="18"/>
                  <w:szCs w:val="18"/>
                  <w:color w:val="0000EE"/>
                  <w:w w:val="99"/>
                </w:rPr>
                <w:t>Zhengmu Investment Center (Limited Partnership) and Ningbo Qingyu Investment Management Co., Ltd., the Registrant</w:t>
              </w:r>
            </w:hyperlink>
          </w:p>
        </w:tc>
        <w:tc>
          <w:tcPr>
            <w:tcW w:w="20" w:type="dxa"/>
            <w:vAlign w:val="bottom"/>
            <w:tcBorders>
              <w:top w:val="single" w:sz="8" w:color="0000EE"/>
            </w:tcBorders>
          </w:tcPr>
          <w:p>
            <w:pPr>
              <w:spacing w:after="0"/>
              <w:rPr>
                <w:sz w:val="15"/>
                <w:szCs w:val="15"/>
                <w:color w:val="auto"/>
              </w:rPr>
            </w:pPr>
          </w:p>
        </w:tc>
        <w:tc>
          <w:tcPr>
            <w:tcW w:w="280" w:type="dxa"/>
            <w:vAlign w:val="bottom"/>
            <w:gridSpan w:val="7"/>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900" w:type="dxa"/>
            <w:vAlign w:val="bottom"/>
            <w:gridSpan w:val="30"/>
          </w:tcPr>
          <w:p>
            <w:pPr>
              <w:spacing w:after="0" w:line="182" w:lineRule="exact"/>
              <w:rPr>
                <w:rFonts w:ascii="Arial" w:cs="Arial" w:eastAsia="Arial" w:hAnsi="Arial"/>
                <w:sz w:val="18"/>
                <w:szCs w:val="18"/>
                <w:color w:val="0000EE"/>
              </w:rPr>
            </w:pPr>
            <w:hyperlink r:id="rId465">
              <w:r>
                <w:rPr>
                  <w:rFonts w:ascii="Arial" w:cs="Arial" w:eastAsia="Arial" w:hAnsi="Arial"/>
                  <w:sz w:val="18"/>
                  <w:szCs w:val="18"/>
                  <w:color w:val="0000EE"/>
                </w:rPr>
                <w:t>and other parties thereto</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960" w:type="dxa"/>
            <w:vAlign w:val="bottom"/>
            <w:gridSpan w:val="8"/>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900" w:type="dxa"/>
            <w:vAlign w:val="bottom"/>
            <w:gridSpan w:val="30"/>
          </w:tcPr>
          <w:p>
            <w:pPr>
              <w:spacing w:after="0"/>
              <w:rPr>
                <w:rFonts w:ascii="Arial" w:cs="Arial" w:eastAsia="Arial" w:hAnsi="Arial"/>
                <w:sz w:val="18"/>
                <w:szCs w:val="18"/>
                <w:color w:val="0000EE"/>
              </w:rPr>
            </w:pPr>
            <w:hyperlink r:id="rId466">
              <w:r>
                <w:rPr>
                  <w:rFonts w:ascii="Arial" w:cs="Arial" w:eastAsia="Arial" w:hAnsi="Arial"/>
                  <w:sz w:val="18"/>
                  <w:szCs w:val="18"/>
                  <w:color w:val="0000EE"/>
                </w:rPr>
                <w:t>Convertible Loan Agreement dated November 19, 2020 among Zibo Minsheng Ouming Equity Investment Partnership</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2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466">
              <w:r>
                <w:rPr>
                  <w:rFonts w:ascii="Arial" w:cs="Arial" w:eastAsia="Arial" w:hAnsi="Arial"/>
                  <w:sz w:val="18"/>
                  <w:szCs w:val="18"/>
                  <w:color w:val="0000EE"/>
                  <w:w w:val="99"/>
                </w:rPr>
                <w:t>(Limited Partnership), the Registrant and Shanghai Wanwuxinsheng</w:t>
              </w:r>
            </w:hyperlink>
          </w:p>
        </w:tc>
        <w:tc>
          <w:tcPr>
            <w:tcW w:w="3960" w:type="dxa"/>
            <w:vAlign w:val="bottom"/>
            <w:tcBorders>
              <w:top w:val="single" w:sz="8" w:color="0000EE"/>
            </w:tcBorders>
            <w:gridSpan w:val="8"/>
          </w:tcPr>
          <w:p>
            <w:pPr>
              <w:spacing w:after="0"/>
              <w:rPr>
                <w:sz w:val="15"/>
                <w:szCs w:val="15"/>
                <w:color w:val="auto"/>
              </w:rPr>
            </w:pPr>
          </w:p>
        </w:tc>
        <w:tc>
          <w:tcPr>
            <w:tcW w:w="520" w:type="dxa"/>
            <w:vAlign w:val="bottom"/>
            <w:gridSpan w:val="11"/>
          </w:tcPr>
          <w:p>
            <w:pPr>
              <w:spacing w:after="0"/>
              <w:rPr>
                <w:sz w:val="15"/>
                <w:szCs w:val="15"/>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Description of Document</w:t>
            </w:r>
          </w:p>
        </w:tc>
        <w:tc>
          <w:tcPr>
            <w:tcW w:w="3640" w:type="dxa"/>
            <w:vAlign w:val="bottom"/>
            <w:gridSpan w:val="8"/>
          </w:tcPr>
          <w:p>
            <w:pPr>
              <w:spacing w:after="0"/>
              <w:rPr>
                <w:sz w:val="15"/>
                <w:szCs w:val="15"/>
                <w:color w:val="auto"/>
              </w:rPr>
            </w:pPr>
          </w:p>
        </w:tc>
      </w:tr>
      <w:tr>
        <w:trPr>
          <w:trHeight w:val="277"/>
        </w:trPr>
        <w:tc>
          <w:tcPr>
            <w:tcW w:w="620" w:type="dxa"/>
            <w:vAlign w:val="bottom"/>
            <w:gridSpan w:val="2"/>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8480" w:type="dxa"/>
            <w:vAlign w:val="bottom"/>
            <w:tcBorders>
              <w:bottom w:val="single" w:sz="8" w:color="0000EE"/>
            </w:tcBorders>
            <w:gridSpan w:val="17"/>
          </w:tcPr>
          <w:p>
            <w:pPr>
              <w:spacing w:after="0"/>
              <w:rPr>
                <w:rFonts w:ascii="Arial" w:cs="Arial" w:eastAsia="Arial" w:hAnsi="Arial"/>
                <w:sz w:val="18"/>
                <w:szCs w:val="18"/>
                <w:color w:val="0000EE"/>
                <w:w w:val="99"/>
              </w:rPr>
            </w:pPr>
            <w:hyperlink r:id="rId468">
              <w:r>
                <w:rPr>
                  <w:rFonts w:ascii="Arial" w:cs="Arial" w:eastAsia="Arial" w:hAnsi="Arial"/>
                  <w:sz w:val="18"/>
                  <w:szCs w:val="18"/>
                  <w:color w:val="0000EE"/>
                  <w:w w:val="99"/>
                </w:rPr>
                <w:t>Warrant Instrument dated November 19, 2020 between InnoVen Capital China Pte. Ltd. and the Registrant</w:t>
              </w:r>
            </w:hyperlink>
          </w:p>
        </w:tc>
        <w:tc>
          <w:tcPr>
            <w:tcW w:w="980" w:type="dxa"/>
            <w:vAlign w:val="bottom"/>
            <w:gridSpan w:val="3"/>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8320" w:type="dxa"/>
            <w:vAlign w:val="bottom"/>
            <w:tcBorders>
              <w:bottom w:val="single" w:sz="8" w:color="0000EE"/>
            </w:tcBorders>
            <w:gridSpan w:val="16"/>
          </w:tcPr>
          <w:p>
            <w:pPr>
              <w:spacing w:after="0"/>
              <w:rPr>
                <w:rFonts w:ascii="Arial" w:cs="Arial" w:eastAsia="Arial" w:hAnsi="Arial"/>
                <w:sz w:val="18"/>
                <w:szCs w:val="18"/>
                <w:color w:val="0000EE"/>
                <w:w w:val="99"/>
              </w:rPr>
            </w:pPr>
            <w:hyperlink r:id="rId469">
              <w:r>
                <w:rPr>
                  <w:rFonts w:ascii="Arial" w:cs="Arial" w:eastAsia="Arial" w:hAnsi="Arial"/>
                  <w:sz w:val="18"/>
                  <w:szCs w:val="18"/>
                  <w:color w:val="0000EE"/>
                  <w:w w:val="99"/>
                </w:rPr>
                <w:t>Share Repurchase Agreement dated February 8, 2021 between C&amp;XF Group Limited and the Registrant</w:t>
              </w:r>
            </w:hyperlink>
          </w:p>
        </w:tc>
        <w:tc>
          <w:tcPr>
            <w:tcW w:w="1140" w:type="dxa"/>
            <w:vAlign w:val="bottom"/>
            <w:gridSpan w:val="4"/>
          </w:tcPr>
          <w:p>
            <w:pPr>
              <w:spacing w:after="0"/>
              <w:rPr>
                <w:sz w:val="24"/>
                <w:szCs w:val="24"/>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10.29</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460" w:type="dxa"/>
            <w:vAlign w:val="bottom"/>
            <w:tcBorders>
              <w:bottom w:val="single" w:sz="8" w:color="0000EE"/>
            </w:tcBorders>
            <w:gridSpan w:val="20"/>
          </w:tcPr>
          <w:p>
            <w:pPr>
              <w:spacing w:after="0"/>
              <w:rPr>
                <w:rFonts w:ascii="Arial" w:cs="Arial" w:eastAsia="Arial" w:hAnsi="Arial"/>
                <w:sz w:val="18"/>
                <w:szCs w:val="18"/>
                <w:color w:val="0000EE"/>
                <w:w w:val="99"/>
              </w:rPr>
            </w:pPr>
            <w:hyperlink r:id="rId470">
              <w:r>
                <w:rPr>
                  <w:rFonts w:ascii="Arial" w:cs="Arial" w:eastAsia="Arial" w:hAnsi="Arial"/>
                  <w:sz w:val="18"/>
                  <w:szCs w:val="18"/>
                  <w:color w:val="0000EE"/>
                  <w:w w:val="99"/>
                </w:rPr>
                <w:t>Share Repurchase Agreement dated February 8, 2021 between Qianhai Ark (Cayman) Investment Co. Limited and the</w:t>
              </w:r>
            </w:hyperlink>
          </w:p>
        </w:tc>
      </w:tr>
      <w:tr>
        <w:trPr>
          <w:trHeight w:val="183"/>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60" w:type="dxa"/>
            <w:vAlign w:val="bottom"/>
            <w:gridSpan w:val="20"/>
          </w:tcPr>
          <w:p>
            <w:pPr>
              <w:spacing w:after="0" w:line="182" w:lineRule="exact"/>
              <w:rPr>
                <w:rFonts w:ascii="Arial" w:cs="Arial" w:eastAsia="Arial" w:hAnsi="Arial"/>
                <w:sz w:val="18"/>
                <w:szCs w:val="18"/>
                <w:color w:val="0000EE"/>
              </w:rPr>
            </w:pPr>
            <w:hyperlink r:id="rId470">
              <w:r>
                <w:rPr>
                  <w:rFonts w:ascii="Arial" w:cs="Arial" w:eastAsia="Arial" w:hAnsi="Arial"/>
                  <w:sz w:val="18"/>
                  <w:szCs w:val="18"/>
                  <w:color w:val="0000EE"/>
                </w:rPr>
                <w:t>Registrant</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10.30</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460" w:type="dxa"/>
            <w:vAlign w:val="bottom"/>
            <w:gridSpan w:val="20"/>
          </w:tcPr>
          <w:p>
            <w:pPr>
              <w:spacing w:after="0"/>
              <w:rPr>
                <w:rFonts w:ascii="Arial" w:cs="Arial" w:eastAsia="Arial" w:hAnsi="Arial"/>
                <w:sz w:val="18"/>
                <w:szCs w:val="18"/>
                <w:color w:val="0000EE"/>
              </w:rPr>
            </w:pPr>
            <w:hyperlink r:id="rId471">
              <w:r>
                <w:rPr>
                  <w:rFonts w:ascii="Arial" w:cs="Arial" w:eastAsia="Arial" w:hAnsi="Arial"/>
                  <w:sz w:val="18"/>
                  <w:szCs w:val="18"/>
                  <w:color w:val="0000EE"/>
                </w:rPr>
                <w:t>Share Purchase Agreement dated April 16, 2021 between the Registrant and Series F investors</w:t>
              </w:r>
            </w:hyperlink>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10.31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7620" w:type="dxa"/>
            <w:vAlign w:val="bottom"/>
            <w:tcBorders>
              <w:top w:val="single" w:sz="8" w:color="0000EE"/>
            </w:tcBorders>
            <w:gridSpan w:val="15"/>
          </w:tcPr>
          <w:p>
            <w:pPr>
              <w:spacing w:after="0"/>
              <w:rPr>
                <w:rFonts w:ascii="Arial" w:cs="Arial" w:eastAsia="Arial" w:hAnsi="Arial"/>
                <w:sz w:val="18"/>
                <w:szCs w:val="18"/>
                <w:color w:val="0000EE"/>
              </w:rPr>
            </w:pPr>
            <w:hyperlink r:id="rId472">
              <w:r>
                <w:rPr>
                  <w:rFonts w:ascii="Arial" w:cs="Arial" w:eastAsia="Arial" w:hAnsi="Arial"/>
                  <w:sz w:val="18"/>
                  <w:szCs w:val="18"/>
                  <w:color w:val="0000EE"/>
                </w:rPr>
                <w:t>Warrant dated May 10, 2021 between China Equities HK Limited and the Registrant</w:t>
              </w:r>
            </w:hyperlink>
          </w:p>
        </w:tc>
        <w:tc>
          <w:tcPr>
            <w:tcW w:w="1840" w:type="dxa"/>
            <w:vAlign w:val="bottom"/>
            <w:gridSpan w:val="5"/>
          </w:tcPr>
          <w:p>
            <w:pPr>
              <w:spacing w:after="0"/>
              <w:rPr>
                <w:sz w:val="24"/>
                <w:szCs w:val="24"/>
                <w:color w:val="auto"/>
              </w:rPr>
            </w:pPr>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10.32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460" w:type="dxa"/>
            <w:vAlign w:val="bottom"/>
            <w:gridSpan w:val="20"/>
          </w:tcPr>
          <w:p>
            <w:pPr>
              <w:spacing w:after="0"/>
              <w:rPr>
                <w:rFonts w:ascii="Arial" w:cs="Arial" w:eastAsia="Arial" w:hAnsi="Arial"/>
                <w:sz w:val="18"/>
                <w:szCs w:val="18"/>
                <w:color w:val="0000EE"/>
              </w:rPr>
            </w:pPr>
            <w:hyperlink r:id="rId473">
              <w:r>
                <w:rPr>
                  <w:rFonts w:ascii="Arial" w:cs="Arial" w:eastAsia="Arial" w:hAnsi="Arial"/>
                  <w:sz w:val="18"/>
                  <w:szCs w:val="18"/>
                  <w:color w:val="0000EE"/>
                </w:rPr>
                <w:t>Share Purchase Agreement dated May 25, 2021 between the Registrant and Cosmic Blue Investments Limited</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10.33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260" w:type="dxa"/>
            <w:vAlign w:val="bottom"/>
            <w:tcBorders>
              <w:bottom w:val="single" w:sz="8" w:color="0000EE"/>
            </w:tcBorders>
            <w:gridSpan w:val="19"/>
          </w:tcPr>
          <w:p>
            <w:pPr>
              <w:spacing w:after="0"/>
              <w:rPr>
                <w:rFonts w:ascii="Arial" w:cs="Arial" w:eastAsia="Arial" w:hAnsi="Arial"/>
                <w:sz w:val="18"/>
                <w:szCs w:val="18"/>
                <w:color w:val="0000EE"/>
                <w:w w:val="99"/>
              </w:rPr>
            </w:pPr>
            <w:hyperlink r:id="rId474">
              <w:r>
                <w:rPr>
                  <w:rFonts w:ascii="Arial" w:cs="Arial" w:eastAsia="Arial" w:hAnsi="Arial"/>
                  <w:sz w:val="18"/>
                  <w:szCs w:val="18"/>
                  <w:color w:val="0000EE"/>
                  <w:w w:val="99"/>
                </w:rPr>
                <w:t>English translation of Business Cooperation Framework Agreement dated May 25, 2021 between the Registrant and</w:t>
              </w:r>
            </w:hyperlink>
          </w:p>
        </w:tc>
        <w:tc>
          <w:tcPr>
            <w:tcW w:w="200" w:type="dxa"/>
            <w:vAlign w:val="bottom"/>
          </w:tcPr>
          <w:p>
            <w:pPr>
              <w:spacing w:after="0"/>
              <w:rPr>
                <w:sz w:val="24"/>
                <w:szCs w:val="24"/>
                <w:color w:val="auto"/>
              </w:rPr>
            </w:pPr>
          </w:p>
        </w:tc>
      </w:tr>
      <w:tr>
        <w:trPr>
          <w:trHeight w:val="182"/>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4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r:id="rId474">
              <w:r>
                <w:rPr>
                  <w:rFonts w:ascii="Arial" w:cs="Arial" w:eastAsia="Arial" w:hAnsi="Arial"/>
                  <w:sz w:val="18"/>
                  <w:szCs w:val="18"/>
                  <w:color w:val="0000EE"/>
                  <w:w w:val="98"/>
                </w:rPr>
                <w:t>Chengdu Kuaigou Technology Co., Ltd.</w:t>
              </w:r>
            </w:hyperlink>
          </w:p>
        </w:tc>
        <w:tc>
          <w:tcPr>
            <w:tcW w:w="6320" w:type="dxa"/>
            <w:vAlign w:val="bottom"/>
            <w:gridSpan w:val="15"/>
          </w:tcPr>
          <w:p>
            <w:pPr>
              <w:spacing w:after="0"/>
              <w:rPr>
                <w:sz w:val="15"/>
                <w:szCs w:val="15"/>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3100" w:type="dxa"/>
            <w:vAlign w:val="bottom"/>
            <w:tcBorders>
              <w:bottom w:val="single" w:sz="8" w:color="0000EE"/>
            </w:tcBorders>
            <w:gridSpan w:val="4"/>
          </w:tcPr>
          <w:p>
            <w:pPr>
              <w:spacing w:after="0"/>
              <w:rPr>
                <w:rFonts w:ascii="Arial" w:cs="Arial" w:eastAsia="Arial" w:hAnsi="Arial"/>
                <w:sz w:val="18"/>
                <w:szCs w:val="18"/>
                <w:color w:val="0000EE"/>
                <w:w w:val="99"/>
              </w:rPr>
            </w:pPr>
            <w:hyperlink r:id="rId475">
              <w:r>
                <w:rPr>
                  <w:rFonts w:ascii="Arial" w:cs="Arial" w:eastAsia="Arial" w:hAnsi="Arial"/>
                  <w:sz w:val="18"/>
                  <w:szCs w:val="18"/>
                  <w:color w:val="0000EE"/>
                  <w:w w:val="99"/>
                </w:rPr>
                <w:t>Principal Subsidiaries of the Registrant</w:t>
              </w:r>
            </w:hyperlink>
          </w:p>
        </w:tc>
        <w:tc>
          <w:tcPr>
            <w:tcW w:w="6360" w:type="dxa"/>
            <w:vAlign w:val="bottom"/>
            <w:gridSpan w:val="16"/>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69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435">
              <w:r>
                <w:rPr>
                  <w:rFonts w:ascii="Arial" w:cs="Arial" w:eastAsia="Arial" w:hAnsi="Arial"/>
                  <w:sz w:val="18"/>
                  <w:szCs w:val="18"/>
                  <w:color w:val="0000EE"/>
                  <w:w w:val="99"/>
                </w:rPr>
                <w:t>Consent of Deloitte Touche Tohmatsu, an independent registered public accounting firm</w:t>
              </w:r>
            </w:hyperlink>
          </w:p>
        </w:tc>
        <w:tc>
          <w:tcPr>
            <w:tcW w:w="2480" w:type="dxa"/>
            <w:vAlign w:val="bottom"/>
            <w:gridSpan w:val="6"/>
          </w:tcPr>
          <w:p>
            <w:pPr>
              <w:spacing w:after="0"/>
              <w:rPr>
                <w:sz w:val="24"/>
                <w:szCs w:val="24"/>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23.2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5800" w:type="dxa"/>
            <w:vAlign w:val="bottom"/>
            <w:tcBorders>
              <w:bottom w:val="single" w:sz="8" w:color="0000EE"/>
            </w:tcBorders>
            <w:gridSpan w:val="11"/>
          </w:tcPr>
          <w:p>
            <w:pPr>
              <w:spacing w:after="0"/>
              <w:rPr>
                <w:rFonts w:ascii="Arial" w:cs="Arial" w:eastAsia="Arial" w:hAnsi="Arial"/>
                <w:sz w:val="18"/>
                <w:szCs w:val="18"/>
                <w:color w:val="0000EE"/>
                <w:w w:val="99"/>
              </w:rPr>
            </w:pPr>
            <w:hyperlink r:id="rId438">
              <w:r>
                <w:rPr>
                  <w:rFonts w:ascii="Arial" w:cs="Arial" w:eastAsia="Arial" w:hAnsi="Arial"/>
                  <w:sz w:val="18"/>
                  <w:szCs w:val="18"/>
                  <w:color w:val="0000EE"/>
                  <w:w w:val="99"/>
                </w:rPr>
                <w:t>Consent of Maples and Calder (Hong Kong) LLP (included in Exhibit 5.1)</w:t>
              </w:r>
            </w:hyperlink>
          </w:p>
        </w:tc>
        <w:tc>
          <w:tcPr>
            <w:tcW w:w="3660" w:type="dxa"/>
            <w:vAlign w:val="bottom"/>
            <w:gridSpan w:val="9"/>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23.3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4640" w:type="dxa"/>
            <w:vAlign w:val="bottom"/>
            <w:tcBorders>
              <w:bottom w:val="single" w:sz="8" w:color="0000EE"/>
            </w:tcBorders>
            <w:gridSpan w:val="9"/>
          </w:tcPr>
          <w:p>
            <w:pPr>
              <w:spacing w:after="0"/>
              <w:rPr>
                <w:rFonts w:ascii="Arial" w:cs="Arial" w:eastAsia="Arial" w:hAnsi="Arial"/>
                <w:sz w:val="18"/>
                <w:szCs w:val="18"/>
                <w:color w:val="0000EE"/>
                <w:w w:val="99"/>
              </w:rPr>
            </w:pPr>
            <w:hyperlink r:id="rId439">
              <w:r>
                <w:rPr>
                  <w:rFonts w:ascii="Arial" w:cs="Arial" w:eastAsia="Arial" w:hAnsi="Arial"/>
                  <w:sz w:val="18"/>
                  <w:szCs w:val="18"/>
                  <w:color w:val="0000EE"/>
                  <w:w w:val="99"/>
                </w:rPr>
                <w:t>Consent of Han Kun Law Offices (included in Exhibit 99.2)</w:t>
              </w:r>
            </w:hyperlink>
          </w:p>
        </w:tc>
        <w:tc>
          <w:tcPr>
            <w:tcW w:w="4820" w:type="dxa"/>
            <w:vAlign w:val="bottom"/>
            <w:gridSpan w:val="11"/>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23.4</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460" w:type="dxa"/>
            <w:vAlign w:val="bottom"/>
            <w:gridSpan w:val="20"/>
          </w:tcPr>
          <w:p>
            <w:pPr>
              <w:spacing w:after="0"/>
              <w:rPr>
                <w:rFonts w:ascii="Arial" w:cs="Arial" w:eastAsia="Arial" w:hAnsi="Arial"/>
                <w:sz w:val="18"/>
                <w:szCs w:val="18"/>
                <w:color w:val="0000EE"/>
              </w:rPr>
            </w:pPr>
            <w:hyperlink r:id="rId476">
              <w:r>
                <w:rPr>
                  <w:rFonts w:ascii="Arial" w:cs="Arial" w:eastAsia="Arial" w:hAnsi="Arial"/>
                  <w:sz w:val="18"/>
                  <w:szCs w:val="18"/>
                  <w:color w:val="0000EE"/>
                </w:rPr>
                <w:t>Consent of Jingbo Wang</w:t>
              </w:r>
            </w:hyperlink>
          </w:p>
        </w:tc>
      </w:tr>
      <w:tr>
        <w:trPr>
          <w:trHeight w:val="20"/>
        </w:trPr>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23.5</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2080" w:type="dxa"/>
            <w:vAlign w:val="bottom"/>
            <w:tcBorders>
              <w:bottom w:val="single" w:sz="8" w:color="0000EE"/>
            </w:tcBorders>
            <w:gridSpan w:val="3"/>
          </w:tcPr>
          <w:p>
            <w:pPr>
              <w:spacing w:after="0"/>
              <w:rPr>
                <w:rFonts w:ascii="Arial" w:cs="Arial" w:eastAsia="Arial" w:hAnsi="Arial"/>
                <w:sz w:val="18"/>
                <w:szCs w:val="18"/>
                <w:color w:val="0000EE"/>
                <w:w w:val="99"/>
              </w:rPr>
            </w:pPr>
            <w:hyperlink r:id="rId477">
              <w:r>
                <w:rPr>
                  <w:rFonts w:ascii="Arial" w:cs="Arial" w:eastAsia="Arial" w:hAnsi="Arial"/>
                  <w:sz w:val="18"/>
                  <w:szCs w:val="18"/>
                  <w:color w:val="0000EE"/>
                  <w:w w:val="99"/>
                </w:rPr>
                <w:t>Consent of Guoxing Jiang</w:t>
              </w:r>
            </w:hyperlink>
          </w:p>
        </w:tc>
        <w:tc>
          <w:tcPr>
            <w:tcW w:w="7380" w:type="dxa"/>
            <w:vAlign w:val="bottom"/>
            <w:gridSpan w:val="17"/>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3860" w:type="dxa"/>
            <w:vAlign w:val="bottom"/>
            <w:tcBorders>
              <w:bottom w:val="single" w:sz="8" w:color="0000EE"/>
            </w:tcBorders>
            <w:gridSpan w:val="6"/>
          </w:tcPr>
          <w:p>
            <w:pPr>
              <w:spacing w:after="0"/>
              <w:rPr>
                <w:rFonts w:ascii="Arial" w:cs="Arial" w:eastAsia="Arial" w:hAnsi="Arial"/>
                <w:sz w:val="18"/>
                <w:szCs w:val="18"/>
                <w:color w:val="0000EE"/>
                <w:w w:val="99"/>
              </w:rPr>
            </w:pPr>
            <w:hyperlink r:id="rId478">
              <w:r>
                <w:rPr>
                  <w:rFonts w:ascii="Arial" w:cs="Arial" w:eastAsia="Arial" w:hAnsi="Arial"/>
                  <w:sz w:val="18"/>
                  <w:szCs w:val="18"/>
                  <w:color w:val="0000EE"/>
                  <w:w w:val="99"/>
                </w:rPr>
                <w:t>Powers of Attorney (included on signature page)</w:t>
              </w:r>
            </w:hyperlink>
          </w:p>
        </w:tc>
        <w:tc>
          <w:tcPr>
            <w:tcW w:w="5600" w:type="dxa"/>
            <w:vAlign w:val="bottom"/>
            <w:gridSpan w:val="14"/>
          </w:tcPr>
          <w:p>
            <w:pPr>
              <w:spacing w:after="0"/>
              <w:rPr>
                <w:sz w:val="24"/>
                <w:szCs w:val="24"/>
                <w:color w:val="auto"/>
              </w:rPr>
            </w:pPr>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99.1</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4400" w:type="dxa"/>
            <w:vAlign w:val="bottom"/>
            <w:tcBorders>
              <w:bottom w:val="single" w:sz="8" w:color="0000EE"/>
            </w:tcBorders>
            <w:gridSpan w:val="8"/>
          </w:tcPr>
          <w:p>
            <w:pPr>
              <w:spacing w:after="0"/>
              <w:rPr>
                <w:rFonts w:ascii="Arial" w:cs="Arial" w:eastAsia="Arial" w:hAnsi="Arial"/>
                <w:sz w:val="18"/>
                <w:szCs w:val="18"/>
                <w:color w:val="0000EE"/>
                <w:w w:val="99"/>
              </w:rPr>
            </w:pPr>
            <w:hyperlink r:id="rId479">
              <w:r>
                <w:rPr>
                  <w:rFonts w:ascii="Arial" w:cs="Arial" w:eastAsia="Arial" w:hAnsi="Arial"/>
                  <w:sz w:val="18"/>
                  <w:szCs w:val="18"/>
                  <w:color w:val="0000EE"/>
                  <w:w w:val="99"/>
                </w:rPr>
                <w:t>Code of Business Conduct and Ethics of the Registrant</w:t>
              </w:r>
            </w:hyperlink>
          </w:p>
        </w:tc>
        <w:tc>
          <w:tcPr>
            <w:tcW w:w="5060" w:type="dxa"/>
            <w:vAlign w:val="bottom"/>
            <w:gridSpan w:val="12"/>
          </w:tcPr>
          <w:p>
            <w:pPr>
              <w:spacing w:after="0"/>
              <w:rPr>
                <w:sz w:val="24"/>
                <w:szCs w:val="24"/>
                <w:color w:val="auto"/>
              </w:rPr>
            </w:pPr>
          </w:p>
        </w:tc>
      </w:tr>
      <w:tr>
        <w:trPr>
          <w:trHeight w:val="291"/>
        </w:trPr>
        <w:tc>
          <w:tcPr>
            <w:tcW w:w="620" w:type="dxa"/>
            <w:vAlign w:val="bottom"/>
            <w:gridSpan w:val="2"/>
          </w:tcPr>
          <w:p>
            <w:pPr>
              <w:spacing w:after="0"/>
              <w:rPr>
                <w:sz w:val="20"/>
                <w:szCs w:val="20"/>
                <w:color w:val="auto"/>
              </w:rPr>
            </w:pPr>
            <w:r>
              <w:rPr>
                <w:rFonts w:ascii="Arial" w:cs="Arial" w:eastAsia="Arial" w:hAnsi="Arial"/>
                <w:sz w:val="18"/>
                <w:szCs w:val="18"/>
                <w:color w:val="auto"/>
              </w:rPr>
              <w:t>99.2</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9460" w:type="dxa"/>
            <w:vAlign w:val="bottom"/>
            <w:gridSpan w:val="20"/>
          </w:tcPr>
          <w:p>
            <w:pPr>
              <w:spacing w:after="0"/>
              <w:rPr>
                <w:rFonts w:ascii="Arial" w:cs="Arial" w:eastAsia="Arial" w:hAnsi="Arial"/>
                <w:sz w:val="18"/>
                <w:szCs w:val="18"/>
                <w:color w:val="0000EE"/>
              </w:rPr>
            </w:pPr>
            <w:hyperlink r:id="rId439">
              <w:r>
                <w:rPr>
                  <w:rFonts w:ascii="Arial" w:cs="Arial" w:eastAsia="Arial" w:hAnsi="Arial"/>
                  <w:sz w:val="18"/>
                  <w:szCs w:val="18"/>
                  <w:color w:val="0000EE"/>
                </w:rPr>
                <w:t>Opinion of Han Kun Law Offices regarding certain PRC law matters</w:t>
              </w:r>
            </w:hyperlink>
          </w:p>
        </w:tc>
      </w:tr>
      <w:tr>
        <w:trPr>
          <w:trHeight w:val="290"/>
        </w:trPr>
        <w:tc>
          <w:tcPr>
            <w:tcW w:w="620" w:type="dxa"/>
            <w:vAlign w:val="bottom"/>
            <w:gridSpan w:val="2"/>
          </w:tcPr>
          <w:p>
            <w:pPr>
              <w:spacing w:after="0"/>
              <w:rPr>
                <w:sz w:val="20"/>
                <w:szCs w:val="20"/>
                <w:color w:val="auto"/>
              </w:rPr>
            </w:pPr>
            <w:r>
              <w:rPr>
                <w:rFonts w:ascii="Arial" w:cs="Arial" w:eastAsia="Arial" w:hAnsi="Arial"/>
                <w:sz w:val="18"/>
                <w:szCs w:val="18"/>
                <w:color w:val="auto"/>
              </w:rPr>
              <w:t>99.3</w:t>
            </w:r>
            <w:r>
              <w:rPr>
                <w:rFonts w:ascii="Arial" w:cs="Arial" w:eastAsia="Arial" w:hAnsi="Arial"/>
                <w:sz w:val="11"/>
                <w:szCs w:val="11"/>
                <w:color w:val="auto"/>
              </w:rPr>
              <w:t>†</w:t>
            </w:r>
          </w:p>
        </w:tc>
        <w:tc>
          <w:tcPr>
            <w:tcW w:w="480" w:type="dxa"/>
            <w:vAlign w:val="bottom"/>
          </w:tcPr>
          <w:p>
            <w:pPr>
              <w:spacing w:after="0"/>
              <w:rPr>
                <w:sz w:val="24"/>
                <w:szCs w:val="24"/>
                <w:color w:val="auto"/>
              </w:rPr>
            </w:pPr>
          </w:p>
        </w:tc>
        <w:tc>
          <w:tcPr>
            <w:tcW w:w="5360" w:type="dxa"/>
            <w:vAlign w:val="bottom"/>
            <w:tcBorders>
              <w:top w:val="single" w:sz="8" w:color="0000EE"/>
            </w:tcBorders>
            <w:gridSpan w:val="10"/>
          </w:tcPr>
          <w:p>
            <w:pPr>
              <w:spacing w:after="0"/>
              <w:rPr>
                <w:rFonts w:ascii="Arial" w:cs="Arial" w:eastAsia="Arial" w:hAnsi="Arial"/>
                <w:sz w:val="18"/>
                <w:szCs w:val="18"/>
                <w:color w:val="0000EE"/>
              </w:rPr>
            </w:pPr>
            <w:hyperlink r:id="rId480">
              <w:r>
                <w:rPr>
                  <w:rFonts w:ascii="Arial" w:cs="Arial" w:eastAsia="Arial" w:hAnsi="Arial"/>
                  <w:sz w:val="18"/>
                  <w:szCs w:val="18"/>
                  <w:color w:val="0000EE"/>
                </w:rPr>
                <w:t>Consent of China Insights Consultancy</w:t>
              </w:r>
            </w:hyperlink>
          </w:p>
        </w:tc>
        <w:tc>
          <w:tcPr>
            <w:tcW w:w="4100" w:type="dxa"/>
            <w:vAlign w:val="bottom"/>
            <w:gridSpan w:val="10"/>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660" w:hanging="544"/>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be filed by amendment.</w:t>
      </w: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w:t>
      </w:r>
    </w:p>
    <w:p>
      <w:pPr>
        <w:spacing w:after="0" w:line="14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680"/>
          </w:cols>
          <w:pgMar w:left="320" w:top="459" w:right="89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Shanghai, China, on June 4, 2021.</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AiHuiShou International Co. Ltd.</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Kerry Xuefeng Chen</w:t>
      </w:r>
    </w:p>
    <w:tbl>
      <w:tblPr>
        <w:tblLayout w:type="fixed"/>
        <w:tblInd w:w="7040" w:type="dxa"/>
        <w:tblCellMar>
          <w:top w:w="0" w:type="dxa"/>
          <w:left w:w="0" w:type="dxa"/>
          <w:bottom w:w="0" w:type="dxa"/>
          <w:right w:w="0" w:type="dxa"/>
        </w:tblCellMar>
      </w:tblPr>
      <w:tr>
        <w:trPr>
          <w:trHeight w:val="195"/>
        </w:trPr>
        <w:tc>
          <w:tcPr>
            <w:tcW w:w="6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Kerry Xuefeng Chen</w:t>
            </w:r>
          </w:p>
        </w:tc>
      </w:tr>
      <w:tr>
        <w:trPr>
          <w:trHeight w:val="203"/>
        </w:trPr>
        <w:tc>
          <w:tcPr>
            <w:tcW w:w="680" w:type="dxa"/>
            <w:vAlign w:val="bottom"/>
          </w:tcPr>
          <w:p>
            <w:pPr>
              <w:ind w:left="60"/>
              <w:spacing w:after="0" w:line="202" w:lineRule="exact"/>
              <w:rPr>
                <w:sz w:val="20"/>
                <w:szCs w:val="20"/>
                <w:color w:val="auto"/>
              </w:rPr>
            </w:pPr>
            <w:r>
              <w:rPr>
                <w:rFonts w:ascii="Arial" w:cs="Arial" w:eastAsia="Arial" w:hAnsi="Arial"/>
                <w:sz w:val="18"/>
                <w:szCs w:val="18"/>
                <w:color w:val="auto"/>
              </w:rPr>
              <w:t>Title:</w:t>
            </w: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Chairman of the Board of Directors and</w:t>
            </w:r>
          </w:p>
        </w:tc>
      </w:tr>
      <w:tr>
        <w:trPr>
          <w:trHeight w:val="217"/>
        </w:trPr>
        <w:tc>
          <w:tcPr>
            <w:tcW w:w="680" w:type="dxa"/>
            <w:vAlign w:val="bottom"/>
          </w:tcPr>
          <w:p>
            <w:pPr>
              <w:spacing w:after="0"/>
              <w:rPr>
                <w:sz w:val="18"/>
                <w:szCs w:val="18"/>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34" w:lineRule="exact"/>
        <w:rPr>
          <w:sz w:val="20"/>
          <w:szCs w:val="20"/>
          <w:color w:val="auto"/>
        </w:rPr>
      </w:pPr>
    </w:p>
    <w:p>
      <w:pPr>
        <w:ind w:left="120" w:right="520" w:firstLine="551"/>
        <w:spacing w:after="0" w:line="24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June 4, 2021.</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2200" w:type="dxa"/>
            <w:vAlign w:val="bottom"/>
            <w:gridSpan w:val="2"/>
          </w:tcPr>
          <w:p>
            <w:pPr>
              <w:spacing w:after="0"/>
              <w:rPr>
                <w:sz w:val="15"/>
                <w:szCs w:val="15"/>
                <w:color w:val="auto"/>
              </w:rPr>
            </w:pPr>
          </w:p>
        </w:tc>
        <w:tc>
          <w:tcPr>
            <w:tcW w:w="292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640" w:type="dxa"/>
            <w:vAlign w:val="bottom"/>
          </w:tcPr>
          <w:p>
            <w:pPr>
              <w:spacing w:after="0"/>
              <w:rPr>
                <w:sz w:val="15"/>
                <w:szCs w:val="15"/>
                <w:color w:val="auto"/>
              </w:rPr>
            </w:pPr>
          </w:p>
        </w:tc>
      </w:tr>
      <w:tr>
        <w:trPr>
          <w:trHeight w:val="304"/>
        </w:trPr>
        <w:tc>
          <w:tcPr>
            <w:tcW w:w="4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9"/>
              </w:rPr>
              <w:t>/s/ Kerry Xuefeng Chen</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Co-founder, Chairman of the Board of Directors and Chief Executive</w:t>
            </w:r>
          </w:p>
        </w:tc>
      </w:tr>
      <w:tr>
        <w:trPr>
          <w:trHeight w:val="223"/>
        </w:trPr>
        <w:tc>
          <w:tcPr>
            <w:tcW w:w="440" w:type="dxa"/>
            <w:vAlign w:val="bottom"/>
          </w:tcPr>
          <w:p>
            <w:pPr>
              <w:spacing w:after="0"/>
              <w:rPr>
                <w:sz w:val="19"/>
                <w:szCs w:val="19"/>
                <w:color w:val="auto"/>
              </w:rPr>
            </w:pPr>
          </w:p>
        </w:tc>
        <w:tc>
          <w:tcPr>
            <w:tcW w:w="464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Kerry Xuefeng Chen</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Officer (Principal Executive Officer)</w:t>
            </w:r>
          </w:p>
        </w:tc>
      </w:tr>
      <w:tr>
        <w:trPr>
          <w:trHeight w:val="297"/>
        </w:trPr>
        <w:tc>
          <w:tcPr>
            <w:tcW w:w="2880" w:type="dxa"/>
            <w:vAlign w:val="bottom"/>
            <w:tcBorders>
              <w:bottom w:val="single" w:sz="8" w:color="auto"/>
            </w:tcBorders>
            <w:gridSpan w:val="3"/>
          </w:tcPr>
          <w:p>
            <w:pPr>
              <w:jc w:val="center"/>
              <w:ind w:left="2090"/>
              <w:spacing w:after="0"/>
              <w:rPr>
                <w:sz w:val="20"/>
                <w:szCs w:val="20"/>
                <w:color w:val="auto"/>
              </w:rPr>
            </w:pPr>
            <w:r>
              <w:rPr>
                <w:rFonts w:ascii="Arial" w:cs="Arial" w:eastAsia="Arial" w:hAnsi="Arial"/>
                <w:sz w:val="18"/>
                <w:szCs w:val="18"/>
                <w:color w:val="auto"/>
                <w:w w:val="84"/>
              </w:rPr>
              <w:t>*</w:t>
            </w:r>
          </w:p>
        </w:tc>
        <w:tc>
          <w:tcPr>
            <w:tcW w:w="1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464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Yongliang Wang</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Director and President</w:t>
            </w:r>
          </w:p>
        </w:tc>
      </w:tr>
      <w:tr>
        <w:trPr>
          <w:trHeight w:val="297"/>
        </w:trPr>
        <w:tc>
          <w:tcPr>
            <w:tcW w:w="2880" w:type="dxa"/>
            <w:vAlign w:val="bottom"/>
            <w:tcBorders>
              <w:bottom w:val="single" w:sz="8" w:color="auto"/>
            </w:tcBorders>
            <w:gridSpan w:val="3"/>
          </w:tcPr>
          <w:p>
            <w:pPr>
              <w:jc w:val="center"/>
              <w:ind w:left="2090"/>
              <w:spacing w:after="0"/>
              <w:rPr>
                <w:sz w:val="20"/>
                <w:szCs w:val="20"/>
                <w:color w:val="auto"/>
              </w:rPr>
            </w:pPr>
            <w:r>
              <w:rPr>
                <w:rFonts w:ascii="Arial" w:cs="Arial" w:eastAsia="Arial" w:hAnsi="Arial"/>
                <w:sz w:val="18"/>
                <w:szCs w:val="18"/>
                <w:color w:val="auto"/>
                <w:w w:val="84"/>
              </w:rPr>
              <w:t>*</w:t>
            </w:r>
          </w:p>
        </w:tc>
        <w:tc>
          <w:tcPr>
            <w:tcW w:w="1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80" w:type="dxa"/>
            <w:vAlign w:val="bottom"/>
            <w:gridSpan w:val="3"/>
          </w:tcPr>
          <w:p>
            <w:pPr>
              <w:jc w:val="center"/>
              <w:ind w:right="2220"/>
              <w:spacing w:after="0"/>
              <w:rPr>
                <w:sz w:val="20"/>
                <w:szCs w:val="20"/>
                <w:color w:val="auto"/>
              </w:rPr>
            </w:pPr>
            <w:r>
              <w:rPr>
                <w:rFonts w:ascii="Arial" w:cs="Arial" w:eastAsia="Arial" w:hAnsi="Arial"/>
                <w:sz w:val="18"/>
                <w:szCs w:val="18"/>
                <w:color w:val="auto"/>
                <w:w w:val="97"/>
              </w:rPr>
              <w:t>Lei Xu</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97"/>
        </w:trPr>
        <w:tc>
          <w:tcPr>
            <w:tcW w:w="2880" w:type="dxa"/>
            <w:vAlign w:val="bottom"/>
            <w:tcBorders>
              <w:bottom w:val="single" w:sz="8" w:color="auto"/>
            </w:tcBorders>
            <w:gridSpan w:val="3"/>
          </w:tcPr>
          <w:p>
            <w:pPr>
              <w:jc w:val="center"/>
              <w:ind w:left="2090"/>
              <w:spacing w:after="0"/>
              <w:rPr>
                <w:sz w:val="20"/>
                <w:szCs w:val="20"/>
                <w:color w:val="auto"/>
              </w:rPr>
            </w:pPr>
            <w:r>
              <w:rPr>
                <w:rFonts w:ascii="Arial" w:cs="Arial" w:eastAsia="Arial" w:hAnsi="Arial"/>
                <w:sz w:val="18"/>
                <w:szCs w:val="18"/>
                <w:color w:val="auto"/>
                <w:w w:val="84"/>
              </w:rPr>
              <w:t>*</w:t>
            </w:r>
          </w:p>
        </w:tc>
        <w:tc>
          <w:tcPr>
            <w:tcW w:w="1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4640" w:type="dxa"/>
            <w:vAlign w:val="bottom"/>
            <w:gridSpan w:val="4"/>
          </w:tcPr>
          <w:p>
            <w:pPr>
              <w:jc w:val="center"/>
              <w:ind w:right="460"/>
              <w:spacing w:after="0"/>
              <w:rPr>
                <w:sz w:val="20"/>
                <w:szCs w:val="20"/>
                <w:color w:val="auto"/>
              </w:rPr>
            </w:pPr>
            <w:r>
              <w:rPr>
                <w:rFonts w:ascii="Arial" w:cs="Arial" w:eastAsia="Arial" w:hAnsi="Arial"/>
                <w:sz w:val="18"/>
                <w:szCs w:val="18"/>
                <w:color w:val="auto"/>
                <w:w w:val="96"/>
              </w:rPr>
              <w:t>Wei Tang</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r>
      <w:tr>
        <w:trPr>
          <w:trHeight w:val="297"/>
        </w:trPr>
        <w:tc>
          <w:tcPr>
            <w:tcW w:w="4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color w:val="auto"/>
                <w:w w:val="99"/>
              </w:rPr>
              <w:t>/s/ Chen Chen</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w w:val="99"/>
              </w:rPr>
              <w:t>Director and Chief Financial Officer (Principal Financial and Accounting</w:t>
            </w:r>
          </w:p>
        </w:tc>
      </w:tr>
      <w:tr>
        <w:trPr>
          <w:trHeight w:val="223"/>
        </w:trPr>
        <w:tc>
          <w:tcPr>
            <w:tcW w:w="440" w:type="dxa"/>
            <w:vAlign w:val="bottom"/>
          </w:tcPr>
          <w:p>
            <w:pPr>
              <w:spacing w:after="0"/>
              <w:rPr>
                <w:sz w:val="19"/>
                <w:szCs w:val="19"/>
                <w:color w:val="auto"/>
              </w:rPr>
            </w:pPr>
          </w:p>
        </w:tc>
        <w:tc>
          <w:tcPr>
            <w:tcW w:w="464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Chen Chen</w:t>
            </w:r>
          </w:p>
        </w:tc>
        <w:tc>
          <w:tcPr>
            <w:tcW w:w="5860" w:type="dxa"/>
            <w:vAlign w:val="bottom"/>
            <w:gridSpan w:val="3"/>
          </w:tcPr>
          <w:p>
            <w:pPr>
              <w:ind w:left="200"/>
              <w:spacing w:after="0"/>
              <w:rPr>
                <w:sz w:val="20"/>
                <w:szCs w:val="20"/>
                <w:color w:val="auto"/>
              </w:rPr>
            </w:pPr>
            <w:r>
              <w:rPr>
                <w:rFonts w:ascii="Arial" w:cs="Arial" w:eastAsia="Arial" w:hAnsi="Arial"/>
                <w:sz w:val="18"/>
                <w:szCs w:val="18"/>
                <w:color w:val="auto"/>
              </w:rPr>
              <w:t>Officer)</w:t>
            </w:r>
          </w:p>
        </w:tc>
      </w:tr>
      <w:tr>
        <w:trPr>
          <w:trHeight w:val="432"/>
        </w:trPr>
        <w:tc>
          <w:tcPr>
            <w:tcW w:w="5080" w:type="dxa"/>
            <w:vAlign w:val="bottom"/>
            <w:gridSpan w:val="5"/>
          </w:tcPr>
          <w:p>
            <w:pPr>
              <w:spacing w:after="0"/>
              <w:rPr>
                <w:sz w:val="20"/>
                <w:szCs w:val="20"/>
                <w:color w:val="auto"/>
              </w:rPr>
            </w:pPr>
            <w:r>
              <w:rPr>
                <w:rFonts w:ascii="Arial" w:cs="Arial" w:eastAsia="Arial" w:hAnsi="Arial"/>
                <w:sz w:val="18"/>
                <w:szCs w:val="18"/>
                <w:color w:val="auto"/>
              </w:rPr>
              <w:t>*By: /s/ Kerry Xuefeng Chen</w:t>
            </w: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39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Kerry Xuefeng Chen</w:t>
            </w:r>
          </w:p>
        </w:tc>
        <w:tc>
          <w:tcPr>
            <w:tcW w:w="6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spacing w:after="0"/>
              <w:rPr>
                <w:sz w:val="19"/>
                <w:szCs w:val="19"/>
                <w:color w:val="auto"/>
              </w:rPr>
            </w:pPr>
          </w:p>
        </w:tc>
      </w:tr>
    </w:tbl>
    <w:p>
      <w:pPr>
        <w:ind w:left="560"/>
        <w:spacing w:after="0"/>
        <w:rPr>
          <w:sz w:val="20"/>
          <w:szCs w:val="20"/>
          <w:color w:val="auto"/>
        </w:rPr>
      </w:pPr>
      <w:r>
        <w:rPr>
          <w:rFonts w:ascii="Arial" w:cs="Arial" w:eastAsia="Arial" w:hAnsi="Arial"/>
          <w:sz w:val="18"/>
          <w:szCs w:val="18"/>
          <w:i w:val="1"/>
          <w:iCs w:val="1"/>
          <w:color w:val="auto"/>
        </w:rPr>
        <w:t>Attorney-in-fact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060"/>
          </w:cols>
          <w:pgMar w:left="320" w:top="459" w:right="51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34" w:lineRule="exact"/>
        <w:rPr>
          <w:sz w:val="20"/>
          <w:szCs w:val="20"/>
          <w:color w:val="auto"/>
        </w:rPr>
      </w:pPr>
    </w:p>
    <w:p>
      <w:pPr>
        <w:ind w:left="120" w:right="540" w:firstLine="551"/>
        <w:spacing w:after="0" w:line="274" w:lineRule="auto"/>
        <w:rPr>
          <w:sz w:val="20"/>
          <w:szCs w:val="20"/>
          <w:color w:val="auto"/>
        </w:rPr>
      </w:pPr>
      <w:r>
        <w:rPr>
          <w:rFonts w:ascii="Arial" w:cs="Arial" w:eastAsia="Arial" w:hAnsi="Arial"/>
          <w:sz w:val="17"/>
          <w:szCs w:val="17"/>
          <w:color w:val="auto"/>
        </w:rPr>
        <w:t>Pursuant to the Securities Act of 1933, the undersigned, the duly authorized representative in the United States of AiHuiShou International Co. Ltd., has signed this registration statement or amendment thereto in New York, New York on June 4, 2021.</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Authorized U.S. Representative</w:t>
      </w:r>
    </w:p>
    <w:p>
      <w:pPr>
        <w:ind w:left="6740"/>
        <w:spacing w:after="0"/>
        <w:rPr>
          <w:sz w:val="20"/>
          <w:szCs w:val="20"/>
          <w:color w:val="auto"/>
        </w:rPr>
      </w:pPr>
      <w:r>
        <w:rPr>
          <w:rFonts w:ascii="Arial" w:cs="Arial" w:eastAsia="Arial" w:hAnsi="Arial"/>
          <w:sz w:val="18"/>
          <w:szCs w:val="18"/>
          <w:color w:val="auto"/>
        </w:rPr>
        <w:t>Cogency Global Inc.</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Colleen A. De Vries</w:t>
      </w:r>
    </w:p>
    <w:tbl>
      <w:tblPr>
        <w:tblLayout w:type="fixed"/>
        <w:tblInd w:w="7040" w:type="dxa"/>
        <w:tblCellMar>
          <w:top w:w="0" w:type="dxa"/>
          <w:left w:w="0" w:type="dxa"/>
          <w:bottom w:w="0" w:type="dxa"/>
          <w:right w:w="0" w:type="dxa"/>
        </w:tblCellMar>
      </w:tblPr>
      <w:tr>
        <w:trPr>
          <w:trHeight w:val="195"/>
        </w:trPr>
        <w:tc>
          <w:tcPr>
            <w:tcW w:w="6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Colleen A. De Vries</w:t>
            </w:r>
          </w:p>
        </w:tc>
      </w:tr>
      <w:tr>
        <w:trPr>
          <w:trHeight w:val="203"/>
        </w:trPr>
        <w:tc>
          <w:tcPr>
            <w:tcW w:w="680" w:type="dxa"/>
            <w:vAlign w:val="bottom"/>
          </w:tcPr>
          <w:p>
            <w:pPr>
              <w:ind w:left="60"/>
              <w:spacing w:after="0" w:line="202" w:lineRule="exact"/>
              <w:rPr>
                <w:sz w:val="20"/>
                <w:szCs w:val="20"/>
                <w:color w:val="auto"/>
              </w:rPr>
            </w:pPr>
            <w:r>
              <w:rPr>
                <w:rFonts w:ascii="Arial" w:cs="Arial" w:eastAsia="Arial" w:hAnsi="Arial"/>
                <w:sz w:val="18"/>
                <w:szCs w:val="18"/>
                <w:color w:val="auto"/>
              </w:rPr>
              <w:t>Title:</w:t>
            </w:r>
          </w:p>
        </w:tc>
        <w:tc>
          <w:tcPr>
            <w:tcW w:w="3420" w:type="dxa"/>
            <w:vAlign w:val="bottom"/>
          </w:tcPr>
          <w:p>
            <w:pPr>
              <w:ind w:left="80"/>
              <w:spacing w:after="0" w:line="202" w:lineRule="exact"/>
              <w:rPr>
                <w:sz w:val="20"/>
                <w:szCs w:val="20"/>
                <w:color w:val="auto"/>
              </w:rPr>
            </w:pPr>
            <w:r>
              <w:rPr>
                <w:rFonts w:ascii="Arial" w:cs="Arial" w:eastAsia="Arial" w:hAnsi="Arial"/>
                <w:sz w:val="18"/>
                <w:szCs w:val="18"/>
                <w:color w:val="auto"/>
              </w:rPr>
              <w:t>Senior President on behalf of Cogency</w:t>
            </w:r>
          </w:p>
        </w:tc>
      </w:tr>
      <w:tr>
        <w:trPr>
          <w:trHeight w:val="217"/>
        </w:trPr>
        <w:tc>
          <w:tcPr>
            <w:tcW w:w="680" w:type="dxa"/>
            <w:vAlign w:val="bottom"/>
          </w:tcPr>
          <w:p>
            <w:pPr>
              <w:spacing w:after="0"/>
              <w:rPr>
                <w:sz w:val="18"/>
                <w:szCs w:val="18"/>
                <w:color w:val="auto"/>
              </w:rPr>
            </w:pPr>
          </w:p>
        </w:tc>
        <w:tc>
          <w:tcPr>
            <w:tcW w:w="3420" w:type="dxa"/>
            <w:vAlign w:val="bottom"/>
          </w:tcPr>
          <w:p>
            <w:pPr>
              <w:ind w:left="80"/>
              <w:spacing w:after="0"/>
              <w:rPr>
                <w:sz w:val="20"/>
                <w:szCs w:val="20"/>
                <w:color w:val="auto"/>
              </w:rPr>
            </w:pPr>
            <w:r>
              <w:rPr>
                <w:rFonts w:ascii="Arial" w:cs="Arial" w:eastAsia="Arial" w:hAnsi="Arial"/>
                <w:sz w:val="18"/>
                <w:szCs w:val="18"/>
                <w:color w:val="auto"/>
              </w:rPr>
              <w:t>Global Inc.</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140"/>
          </w:cols>
          <w:pgMar w:left="320" w:top="459" w:right="439" w:bottom="1440" w:gutter="0" w:footer="0" w:header="0"/>
        </w:sectPr>
      </w:pPr>
    </w:p>
    <w:bookmarkStart w:id="352" w:name="page353"/>
    <w:bookmarkEnd w:id="352"/>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AIHUISHOU INTERNATIONAL CO. LTD.</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ALL HOLDERS AND BENEFICIAL OWNERS OF</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Dated as of [•], 2021</w:t>
      </w:r>
    </w:p>
    <w:p>
      <w:pPr>
        <w:sectPr>
          <w:pgSz w:w="11900" w:h="16838" w:orient="portrait"/>
          <w:cols w:equalWidth="0" w:num="1">
            <w:col w:w="10020"/>
          </w:cols>
          <w:pgMar w:left="1440" w:top="121" w:right="439" w:bottom="1440" w:gutter="0" w:footer="0" w:header="0"/>
        </w:sectPr>
      </w:pPr>
    </w:p>
    <w:bookmarkStart w:id="353" w:name="page354"/>
    <w:bookmarkEnd w:id="353"/>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9200" w:type="dxa"/>
            <w:vAlign w:val="bottom"/>
          </w:tcPr>
          <w:p>
            <w:pPr>
              <w:ind w:left="3100"/>
              <w:spacing w:after="0"/>
              <w:rPr>
                <w:sz w:val="20"/>
                <w:szCs w:val="20"/>
                <w:color w:val="auto"/>
              </w:rPr>
            </w:pPr>
            <w:r>
              <w:rPr>
                <w:rFonts w:ascii="Arial" w:cs="Arial" w:eastAsia="Arial" w:hAnsi="Arial"/>
                <w:sz w:val="18"/>
                <w:szCs w:val="18"/>
                <w:color w:val="auto"/>
              </w:rPr>
              <w:t>TABLE OF CONTENTS</w:t>
            </w:r>
          </w:p>
        </w:tc>
        <w:tc>
          <w:tcPr>
            <w:tcW w:w="260" w:type="dxa"/>
            <w:vAlign w:val="bottom"/>
          </w:tcPr>
          <w:p>
            <w:pPr>
              <w:spacing w:after="0"/>
              <w:rPr>
                <w:sz w:val="20"/>
                <w:szCs w:val="20"/>
                <w:color w:val="auto"/>
              </w:rPr>
            </w:pPr>
          </w:p>
        </w:tc>
      </w:tr>
      <w:tr>
        <w:trPr>
          <w:trHeight w:val="445"/>
        </w:trPr>
        <w:tc>
          <w:tcPr>
            <w:tcW w:w="1500" w:type="dxa"/>
            <w:vAlign w:val="bottom"/>
          </w:tcPr>
          <w:p>
            <w:pPr>
              <w:spacing w:after="0"/>
              <w:rPr>
                <w:sz w:val="20"/>
                <w:szCs w:val="20"/>
                <w:color w:val="auto"/>
              </w:rPr>
            </w:pPr>
            <w:r>
              <w:rPr>
                <w:rFonts w:ascii="Arial" w:cs="Arial" w:eastAsia="Arial" w:hAnsi="Arial"/>
                <w:sz w:val="18"/>
                <w:szCs w:val="18"/>
                <w:color w:val="auto"/>
              </w:rPr>
              <w:t>ARTICLE I</w:t>
            </w:r>
          </w:p>
        </w:tc>
        <w:tc>
          <w:tcPr>
            <w:tcW w:w="920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200" w:type="dxa"/>
            <w:vAlign w:val="bottom"/>
          </w:tcPr>
          <w:p>
            <w:pPr>
              <w:ind w:left="240"/>
              <w:spacing w:after="0"/>
              <w:rPr>
                <w:sz w:val="20"/>
                <w:szCs w:val="20"/>
                <w:color w:val="auto"/>
              </w:rPr>
            </w:pPr>
            <w:r>
              <w:rPr>
                <w:rFonts w:ascii="Arial" w:cs="Arial" w:eastAsia="Arial" w:hAnsi="Arial"/>
                <w:sz w:val="18"/>
                <w:szCs w:val="18"/>
                <w:color w:val="auto"/>
              </w:rPr>
              <w:t>“ADS Record Date”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200" w:type="dxa"/>
            <w:vAlign w:val="bottom"/>
          </w:tcPr>
          <w:p>
            <w:pPr>
              <w:ind w:left="240"/>
              <w:spacing w:after="0"/>
              <w:rPr>
                <w:sz w:val="20"/>
                <w:szCs w:val="20"/>
                <w:color w:val="auto"/>
              </w:rPr>
            </w:pPr>
            <w:r>
              <w:rPr>
                <w:rFonts w:ascii="Arial" w:cs="Arial" w:eastAsia="Arial" w:hAnsi="Arial"/>
                <w:sz w:val="18"/>
                <w:szCs w:val="18"/>
                <w:color w:val="auto"/>
              </w:rPr>
              <w:t>“Affiliate”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9200" w:type="dxa"/>
            <w:vAlign w:val="bottom"/>
          </w:tcPr>
          <w:p>
            <w:pPr>
              <w:ind w:left="240"/>
              <w:spacing w:after="0"/>
              <w:rPr>
                <w:sz w:val="20"/>
                <w:szCs w:val="20"/>
                <w:color w:val="auto"/>
              </w:rPr>
            </w:pPr>
            <w:r>
              <w:rPr>
                <w:rFonts w:ascii="Arial" w:cs="Arial" w:eastAsia="Arial" w:hAnsi="Arial"/>
                <w:sz w:val="18"/>
                <w:szCs w:val="18"/>
                <w:color w:val="auto"/>
              </w:rPr>
              <w:t>“American Depositary Receipt(s)”, “ADR(s)” and “Receipt(s)”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9200" w:type="dxa"/>
            <w:vAlign w:val="bottom"/>
          </w:tcPr>
          <w:p>
            <w:pPr>
              <w:ind w:left="240"/>
              <w:spacing w:after="0"/>
              <w:rPr>
                <w:sz w:val="20"/>
                <w:szCs w:val="20"/>
                <w:color w:val="auto"/>
              </w:rPr>
            </w:pPr>
            <w:r>
              <w:rPr>
                <w:rFonts w:ascii="Arial" w:cs="Arial" w:eastAsia="Arial" w:hAnsi="Arial"/>
                <w:sz w:val="18"/>
                <w:szCs w:val="18"/>
                <w:color w:val="auto"/>
              </w:rPr>
              <w:t>“American Depositary Share(s)” and “ADS(s)”</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9200" w:type="dxa"/>
            <w:vAlign w:val="bottom"/>
          </w:tcPr>
          <w:p>
            <w:pPr>
              <w:ind w:left="240"/>
              <w:spacing w:after="0"/>
              <w:rPr>
                <w:sz w:val="20"/>
                <w:szCs w:val="20"/>
                <w:color w:val="auto"/>
              </w:rPr>
            </w:pPr>
            <w:r>
              <w:rPr>
                <w:rFonts w:ascii="Arial" w:cs="Arial" w:eastAsia="Arial" w:hAnsi="Arial"/>
                <w:sz w:val="18"/>
                <w:szCs w:val="18"/>
                <w:color w:val="auto"/>
              </w:rPr>
              <w:t>“Articles of Association”</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9200" w:type="dxa"/>
            <w:vAlign w:val="bottom"/>
          </w:tcPr>
          <w:p>
            <w:pPr>
              <w:ind w:left="240"/>
              <w:spacing w:after="0"/>
              <w:rPr>
                <w:sz w:val="20"/>
                <w:szCs w:val="20"/>
                <w:color w:val="auto"/>
              </w:rPr>
            </w:pPr>
            <w:r>
              <w:rPr>
                <w:rFonts w:ascii="Arial" w:cs="Arial" w:eastAsia="Arial" w:hAnsi="Arial"/>
                <w:sz w:val="18"/>
                <w:szCs w:val="18"/>
                <w:color w:val="auto"/>
              </w:rPr>
              <w:t>“Beneficial Owner”</w:t>
            </w: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9200" w:type="dxa"/>
            <w:vAlign w:val="bottom"/>
          </w:tcPr>
          <w:p>
            <w:pPr>
              <w:ind w:left="240"/>
              <w:spacing w:after="0"/>
              <w:rPr>
                <w:sz w:val="20"/>
                <w:szCs w:val="20"/>
                <w:color w:val="auto"/>
              </w:rPr>
            </w:pPr>
            <w:r>
              <w:rPr>
                <w:rFonts w:ascii="Arial" w:cs="Arial" w:eastAsia="Arial" w:hAnsi="Arial"/>
                <w:sz w:val="18"/>
                <w:szCs w:val="18"/>
                <w:color w:val="auto"/>
              </w:rPr>
              <w:t>“Certificated ADS(s)”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9200" w:type="dxa"/>
            <w:vAlign w:val="bottom"/>
          </w:tcPr>
          <w:p>
            <w:pPr>
              <w:ind w:left="240"/>
              <w:spacing w:after="0"/>
              <w:rPr>
                <w:sz w:val="20"/>
                <w:szCs w:val="20"/>
                <w:color w:val="auto"/>
              </w:rPr>
            </w:pPr>
            <w:r>
              <w:rPr>
                <w:rFonts w:ascii="Arial" w:cs="Arial" w:eastAsia="Arial" w:hAnsi="Arial"/>
                <w:sz w:val="18"/>
                <w:szCs w:val="18"/>
                <w:color w:val="auto"/>
              </w:rPr>
              <w:t>“Citibank”</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9200" w:type="dxa"/>
            <w:vAlign w:val="bottom"/>
          </w:tcPr>
          <w:p>
            <w:pPr>
              <w:ind w:left="240"/>
              <w:spacing w:after="0"/>
              <w:rPr>
                <w:sz w:val="20"/>
                <w:szCs w:val="20"/>
                <w:color w:val="auto"/>
              </w:rPr>
            </w:pPr>
            <w:r>
              <w:rPr>
                <w:rFonts w:ascii="Arial" w:cs="Arial" w:eastAsia="Arial" w:hAnsi="Arial"/>
                <w:sz w:val="18"/>
                <w:szCs w:val="18"/>
                <w:color w:val="auto"/>
              </w:rPr>
              <w:t>“Commission”</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9200" w:type="dxa"/>
            <w:vAlign w:val="bottom"/>
          </w:tcPr>
          <w:p>
            <w:pPr>
              <w:ind w:left="240"/>
              <w:spacing w:after="0"/>
              <w:rPr>
                <w:sz w:val="20"/>
                <w:szCs w:val="20"/>
                <w:color w:val="auto"/>
              </w:rPr>
            </w:pPr>
            <w:r>
              <w:rPr>
                <w:rFonts w:ascii="Arial" w:cs="Arial" w:eastAsia="Arial" w:hAnsi="Arial"/>
                <w:sz w:val="18"/>
                <w:szCs w:val="18"/>
                <w:color w:val="auto"/>
              </w:rPr>
              <w:t>“Company”</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9200" w:type="dxa"/>
            <w:vAlign w:val="bottom"/>
          </w:tcPr>
          <w:p>
            <w:pPr>
              <w:ind w:left="240"/>
              <w:spacing w:after="0"/>
              <w:rPr>
                <w:sz w:val="20"/>
                <w:szCs w:val="20"/>
                <w:color w:val="auto"/>
              </w:rPr>
            </w:pPr>
            <w:r>
              <w:rPr>
                <w:rFonts w:ascii="Arial" w:cs="Arial" w:eastAsia="Arial" w:hAnsi="Arial"/>
                <w:sz w:val="18"/>
                <w:szCs w:val="18"/>
                <w:color w:val="auto"/>
              </w:rPr>
              <w:t>“Custodian”</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9200" w:type="dxa"/>
            <w:vAlign w:val="bottom"/>
          </w:tcPr>
          <w:p>
            <w:pPr>
              <w:ind w:left="240"/>
              <w:spacing w:after="0"/>
              <w:rPr>
                <w:sz w:val="20"/>
                <w:szCs w:val="20"/>
                <w:color w:val="auto"/>
              </w:rPr>
            </w:pPr>
            <w:r>
              <w:rPr>
                <w:rFonts w:ascii="Arial" w:cs="Arial" w:eastAsia="Arial" w:hAnsi="Arial"/>
                <w:sz w:val="18"/>
                <w:szCs w:val="18"/>
                <w:color w:val="auto"/>
              </w:rPr>
              <w:t>“Deliver” and “Delivery”</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9200" w:type="dxa"/>
            <w:vAlign w:val="bottom"/>
          </w:tcPr>
          <w:p>
            <w:pPr>
              <w:ind w:left="240"/>
              <w:spacing w:after="0"/>
              <w:rPr>
                <w:sz w:val="20"/>
                <w:szCs w:val="20"/>
                <w:color w:val="auto"/>
              </w:rPr>
            </w:pPr>
            <w:r>
              <w:rPr>
                <w:rFonts w:ascii="Arial" w:cs="Arial" w:eastAsia="Arial" w:hAnsi="Arial"/>
                <w:sz w:val="18"/>
                <w:szCs w:val="18"/>
                <w:color w:val="auto"/>
              </w:rPr>
              <w:t>“Deposit Agreement”</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9200" w:type="dxa"/>
            <w:vAlign w:val="bottom"/>
          </w:tcPr>
          <w:p>
            <w:pPr>
              <w:ind w:left="240"/>
              <w:spacing w:after="0"/>
              <w:rPr>
                <w:sz w:val="20"/>
                <w:szCs w:val="20"/>
                <w:color w:val="auto"/>
              </w:rPr>
            </w:pPr>
            <w:r>
              <w:rPr>
                <w:rFonts w:ascii="Arial" w:cs="Arial" w:eastAsia="Arial" w:hAnsi="Arial"/>
                <w:sz w:val="18"/>
                <w:szCs w:val="18"/>
                <w:color w:val="auto"/>
              </w:rPr>
              <w:t>“Depositary”</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9200" w:type="dxa"/>
            <w:vAlign w:val="bottom"/>
          </w:tcPr>
          <w:p>
            <w:pPr>
              <w:ind w:left="240"/>
              <w:spacing w:after="0"/>
              <w:rPr>
                <w:sz w:val="20"/>
                <w:szCs w:val="20"/>
                <w:color w:val="auto"/>
              </w:rPr>
            </w:pPr>
            <w:r>
              <w:rPr>
                <w:rFonts w:ascii="Arial" w:cs="Arial" w:eastAsia="Arial" w:hAnsi="Arial"/>
                <w:sz w:val="18"/>
                <w:szCs w:val="18"/>
                <w:color w:val="auto"/>
              </w:rPr>
              <w:t>“Deposited Property”</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9200" w:type="dxa"/>
            <w:vAlign w:val="bottom"/>
          </w:tcPr>
          <w:p>
            <w:pPr>
              <w:ind w:left="240"/>
              <w:spacing w:after="0"/>
              <w:rPr>
                <w:sz w:val="20"/>
                <w:szCs w:val="20"/>
                <w:color w:val="auto"/>
              </w:rPr>
            </w:pPr>
            <w:r>
              <w:rPr>
                <w:rFonts w:ascii="Arial" w:cs="Arial" w:eastAsia="Arial" w:hAnsi="Arial"/>
                <w:sz w:val="18"/>
                <w:szCs w:val="18"/>
                <w:color w:val="auto"/>
              </w:rPr>
              <w:t>“Deposited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9200" w:type="dxa"/>
            <w:vAlign w:val="bottom"/>
          </w:tcPr>
          <w:p>
            <w:pPr>
              <w:ind w:left="240"/>
              <w:spacing w:after="0"/>
              <w:rPr>
                <w:sz w:val="20"/>
                <w:szCs w:val="20"/>
                <w:color w:val="auto"/>
              </w:rPr>
            </w:pPr>
            <w:r>
              <w:rPr>
                <w:rFonts w:ascii="Arial" w:cs="Arial" w:eastAsia="Arial" w:hAnsi="Arial"/>
                <w:sz w:val="18"/>
                <w:szCs w:val="18"/>
                <w:color w:val="auto"/>
              </w:rPr>
              <w:t>“Dollars” and “$”</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9200" w:type="dxa"/>
            <w:vAlign w:val="bottom"/>
          </w:tcPr>
          <w:p>
            <w:pPr>
              <w:ind w:left="240"/>
              <w:spacing w:after="0"/>
              <w:rPr>
                <w:sz w:val="20"/>
                <w:szCs w:val="20"/>
                <w:color w:val="auto"/>
              </w:rPr>
            </w:pPr>
            <w:r>
              <w:rPr>
                <w:rFonts w:ascii="Arial" w:cs="Arial" w:eastAsia="Arial" w:hAnsi="Arial"/>
                <w:sz w:val="18"/>
                <w:szCs w:val="18"/>
                <w:color w:val="auto"/>
              </w:rPr>
              <w:t>“DTC”</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1.19</w:t>
            </w:r>
          </w:p>
        </w:tc>
        <w:tc>
          <w:tcPr>
            <w:tcW w:w="9200" w:type="dxa"/>
            <w:vAlign w:val="bottom"/>
          </w:tcPr>
          <w:p>
            <w:pPr>
              <w:ind w:left="240"/>
              <w:spacing w:after="0"/>
              <w:rPr>
                <w:sz w:val="20"/>
                <w:szCs w:val="20"/>
                <w:color w:val="auto"/>
              </w:rPr>
            </w:pPr>
            <w:r>
              <w:rPr>
                <w:rFonts w:ascii="Arial" w:cs="Arial" w:eastAsia="Arial" w:hAnsi="Arial"/>
                <w:sz w:val="18"/>
                <w:szCs w:val="18"/>
                <w:color w:val="auto"/>
              </w:rPr>
              <w:t>“DTC Participant”</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1.20</w:t>
            </w:r>
          </w:p>
        </w:tc>
        <w:tc>
          <w:tcPr>
            <w:tcW w:w="9200" w:type="dxa"/>
            <w:vAlign w:val="bottom"/>
          </w:tcPr>
          <w:p>
            <w:pPr>
              <w:ind w:left="240"/>
              <w:spacing w:after="0"/>
              <w:rPr>
                <w:sz w:val="20"/>
                <w:szCs w:val="20"/>
                <w:color w:val="auto"/>
              </w:rPr>
            </w:pPr>
            <w:r>
              <w:rPr>
                <w:rFonts w:ascii="Arial" w:cs="Arial" w:eastAsia="Arial" w:hAnsi="Arial"/>
                <w:sz w:val="18"/>
                <w:szCs w:val="18"/>
                <w:color w:val="auto"/>
              </w:rPr>
              <w:t>“Exchange Act”</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9200" w:type="dxa"/>
            <w:vAlign w:val="bottom"/>
          </w:tcPr>
          <w:p>
            <w:pPr>
              <w:ind w:left="240"/>
              <w:spacing w:after="0"/>
              <w:rPr>
                <w:sz w:val="20"/>
                <w:szCs w:val="20"/>
                <w:color w:val="auto"/>
              </w:rPr>
            </w:pPr>
            <w:r>
              <w:rPr>
                <w:rFonts w:ascii="Arial" w:cs="Arial" w:eastAsia="Arial" w:hAnsi="Arial"/>
                <w:sz w:val="18"/>
                <w:szCs w:val="18"/>
                <w:color w:val="auto"/>
              </w:rPr>
              <w:t>“Foreign Currency”</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9200" w:type="dxa"/>
            <w:vAlign w:val="bottom"/>
          </w:tcPr>
          <w:p>
            <w:pPr>
              <w:ind w:left="240"/>
              <w:spacing w:after="0"/>
              <w:rPr>
                <w:sz w:val="20"/>
                <w:szCs w:val="20"/>
                <w:color w:val="auto"/>
              </w:rPr>
            </w:pPr>
            <w:r>
              <w:rPr>
                <w:rFonts w:ascii="Arial" w:cs="Arial" w:eastAsia="Arial" w:hAnsi="Arial"/>
                <w:sz w:val="18"/>
                <w:szCs w:val="18"/>
                <w:color w:val="auto"/>
              </w:rPr>
              <w:t>“Full Entitlement ADR(s)”, “Full Entitlement ADS(s)” and “Full Entitlement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1.23</w:t>
            </w:r>
          </w:p>
        </w:tc>
        <w:tc>
          <w:tcPr>
            <w:tcW w:w="9200" w:type="dxa"/>
            <w:vAlign w:val="bottom"/>
          </w:tcPr>
          <w:p>
            <w:pPr>
              <w:ind w:left="240"/>
              <w:spacing w:after="0"/>
              <w:rPr>
                <w:sz w:val="20"/>
                <w:szCs w:val="20"/>
                <w:color w:val="auto"/>
              </w:rPr>
            </w:pPr>
            <w:r>
              <w:rPr>
                <w:rFonts w:ascii="Arial" w:cs="Arial" w:eastAsia="Arial" w:hAnsi="Arial"/>
                <w:sz w:val="18"/>
                <w:szCs w:val="18"/>
                <w:color w:val="auto"/>
              </w:rPr>
              <w:t>“Holder(s)”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1.24</w:t>
            </w:r>
          </w:p>
        </w:tc>
        <w:tc>
          <w:tcPr>
            <w:tcW w:w="9200" w:type="dxa"/>
            <w:vAlign w:val="bottom"/>
          </w:tcPr>
          <w:p>
            <w:pPr>
              <w:ind w:left="24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1.25</w:t>
            </w:r>
          </w:p>
        </w:tc>
        <w:tc>
          <w:tcPr>
            <w:tcW w:w="9200" w:type="dxa"/>
            <w:vAlign w:val="bottom"/>
          </w:tcPr>
          <w:p>
            <w:pPr>
              <w:ind w:left="240"/>
              <w:spacing w:after="0"/>
              <w:rPr>
                <w:sz w:val="20"/>
                <w:szCs w:val="20"/>
                <w:color w:val="auto"/>
              </w:rPr>
            </w:pPr>
            <w:r>
              <w:rPr>
                <w:rFonts w:ascii="Arial" w:cs="Arial" w:eastAsia="Arial" w:hAnsi="Arial"/>
                <w:sz w:val="18"/>
                <w:szCs w:val="18"/>
                <w:color w:val="auto"/>
              </w:rPr>
              <w:t>“Principal Office”</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1.26</w:t>
            </w:r>
          </w:p>
        </w:tc>
        <w:tc>
          <w:tcPr>
            <w:tcW w:w="9200" w:type="dxa"/>
            <w:vAlign w:val="bottom"/>
          </w:tcPr>
          <w:p>
            <w:pPr>
              <w:ind w:left="240"/>
              <w:spacing w:after="0"/>
              <w:rPr>
                <w:sz w:val="20"/>
                <w:szCs w:val="20"/>
                <w:color w:val="auto"/>
              </w:rPr>
            </w:pPr>
            <w:r>
              <w:rPr>
                <w:rFonts w:ascii="Arial" w:cs="Arial" w:eastAsia="Arial" w:hAnsi="Arial"/>
                <w:sz w:val="18"/>
                <w:szCs w:val="18"/>
                <w:color w:val="auto"/>
              </w:rPr>
              <w:t>“Registrar”</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1.27</w:t>
            </w:r>
          </w:p>
        </w:tc>
        <w:tc>
          <w:tcPr>
            <w:tcW w:w="9200" w:type="dxa"/>
            <w:vAlign w:val="bottom"/>
          </w:tcPr>
          <w:p>
            <w:pPr>
              <w:ind w:left="240"/>
              <w:spacing w:after="0"/>
              <w:rPr>
                <w:sz w:val="20"/>
                <w:szCs w:val="20"/>
                <w:color w:val="auto"/>
              </w:rPr>
            </w:pPr>
            <w:r>
              <w:rPr>
                <w:rFonts w:ascii="Arial" w:cs="Arial" w:eastAsia="Arial" w:hAnsi="Arial"/>
                <w:sz w:val="18"/>
                <w:szCs w:val="18"/>
                <w:color w:val="auto"/>
              </w:rPr>
              <w:t>“Restricted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1.28</w:t>
            </w:r>
          </w:p>
        </w:tc>
        <w:tc>
          <w:tcPr>
            <w:tcW w:w="9200" w:type="dxa"/>
            <w:vAlign w:val="bottom"/>
          </w:tcPr>
          <w:p>
            <w:pPr>
              <w:ind w:left="240"/>
              <w:spacing w:after="0"/>
              <w:rPr>
                <w:sz w:val="20"/>
                <w:szCs w:val="20"/>
                <w:color w:val="auto"/>
              </w:rPr>
            </w:pPr>
            <w:r>
              <w:rPr>
                <w:rFonts w:ascii="Arial" w:cs="Arial" w:eastAsia="Arial" w:hAnsi="Arial"/>
                <w:sz w:val="18"/>
                <w:szCs w:val="18"/>
                <w:color w:val="auto"/>
              </w:rPr>
              <w:t>“Restricted ADR(s)”, “Restricted ADS(s)” and “Restricted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1.29</w:t>
            </w:r>
          </w:p>
        </w:tc>
        <w:tc>
          <w:tcPr>
            <w:tcW w:w="9200" w:type="dxa"/>
            <w:vAlign w:val="bottom"/>
          </w:tcPr>
          <w:p>
            <w:pPr>
              <w:ind w:left="240"/>
              <w:spacing w:after="0"/>
              <w:rPr>
                <w:sz w:val="20"/>
                <w:szCs w:val="20"/>
                <w:color w:val="auto"/>
              </w:rPr>
            </w:pPr>
            <w:r>
              <w:rPr>
                <w:rFonts w:ascii="Arial" w:cs="Arial" w:eastAsia="Arial" w:hAnsi="Arial"/>
                <w:sz w:val="18"/>
                <w:szCs w:val="18"/>
                <w:color w:val="auto"/>
              </w:rPr>
              <w:t>“Securities Act”</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1.30</w:t>
            </w:r>
          </w:p>
        </w:tc>
        <w:tc>
          <w:tcPr>
            <w:tcW w:w="9200" w:type="dxa"/>
            <w:vAlign w:val="bottom"/>
          </w:tcPr>
          <w:p>
            <w:pPr>
              <w:ind w:left="240"/>
              <w:spacing w:after="0"/>
              <w:rPr>
                <w:sz w:val="20"/>
                <w:szCs w:val="20"/>
                <w:color w:val="auto"/>
              </w:rPr>
            </w:pPr>
            <w:r>
              <w:rPr>
                <w:rFonts w:ascii="Arial" w:cs="Arial" w:eastAsia="Arial" w:hAnsi="Arial"/>
                <w:sz w:val="18"/>
                <w:szCs w:val="18"/>
                <w:color w:val="auto"/>
              </w:rPr>
              <w:t>“Share Registrar”</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w:t>
            </w:r>
          </w:p>
        </w:tc>
        <w:tc>
          <w:tcPr>
            <w:tcW w:w="9200" w:type="dxa"/>
            <w:vAlign w:val="bottom"/>
          </w:tcPr>
          <w:p>
            <w:pPr>
              <w:ind w:left="240"/>
              <w:spacing w:after="0"/>
              <w:rPr>
                <w:sz w:val="20"/>
                <w:szCs w:val="20"/>
                <w:color w:val="auto"/>
              </w:rPr>
            </w:pPr>
            <w:r>
              <w:rPr>
                <w:rFonts w:ascii="Arial" w:cs="Arial" w:eastAsia="Arial" w:hAnsi="Arial"/>
                <w:sz w:val="18"/>
                <w:szCs w:val="18"/>
                <w:color w:val="auto"/>
              </w:rPr>
              <w:t>“Shares”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1.32</w:t>
            </w:r>
          </w:p>
        </w:tc>
        <w:tc>
          <w:tcPr>
            <w:tcW w:w="9200" w:type="dxa"/>
            <w:vAlign w:val="bottom"/>
          </w:tcPr>
          <w:p>
            <w:pPr>
              <w:ind w:left="240"/>
              <w:spacing w:after="0"/>
              <w:rPr>
                <w:sz w:val="20"/>
                <w:szCs w:val="20"/>
                <w:color w:val="auto"/>
              </w:rPr>
            </w:pPr>
            <w:r>
              <w:rPr>
                <w:rFonts w:ascii="Arial" w:cs="Arial" w:eastAsia="Arial" w:hAnsi="Arial"/>
                <w:sz w:val="18"/>
                <w:szCs w:val="18"/>
                <w:color w:val="auto"/>
              </w:rPr>
              <w:t>“Uncertificated ADS(s)”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1.33</w:t>
            </w:r>
          </w:p>
        </w:tc>
        <w:tc>
          <w:tcPr>
            <w:tcW w:w="9200" w:type="dxa"/>
            <w:vAlign w:val="bottom"/>
          </w:tcPr>
          <w:p>
            <w:pPr>
              <w:ind w:left="240"/>
              <w:spacing w:after="0"/>
              <w:rPr>
                <w:sz w:val="20"/>
                <w:szCs w:val="20"/>
                <w:color w:val="auto"/>
              </w:rPr>
            </w:pPr>
            <w:r>
              <w:rPr>
                <w:rFonts w:ascii="Arial" w:cs="Arial" w:eastAsia="Arial" w:hAnsi="Arial"/>
                <w:sz w:val="18"/>
                <w:szCs w:val="18"/>
                <w:color w:val="auto"/>
              </w:rPr>
              <w:t>“United States” and “U.S.”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ARTICLE II</w:t>
            </w:r>
          </w:p>
        </w:tc>
        <w:tc>
          <w:tcPr>
            <w:tcW w:w="9200" w:type="dxa"/>
            <w:vAlign w:val="bottom"/>
          </w:tcPr>
          <w:p>
            <w:pPr>
              <w:ind w:left="240"/>
              <w:spacing w:after="0"/>
              <w:rPr>
                <w:sz w:val="20"/>
                <w:szCs w:val="20"/>
                <w:color w:val="auto"/>
              </w:rPr>
            </w:pPr>
            <w:r>
              <w:rPr>
                <w:rFonts w:ascii="Arial" w:cs="Arial" w:eastAsia="Arial" w:hAnsi="Arial"/>
                <w:sz w:val="18"/>
                <w:szCs w:val="18"/>
                <w:color w:val="auto"/>
                <w:w w:val="96"/>
              </w:rPr>
              <w:t>APPOINTMENT OF DEPOSITARY; FORM OF RECEIPTS; DEPOSIT OF SHARES; EXECUTION AND DELIVERY,</w:t>
            </w:r>
          </w:p>
        </w:tc>
        <w:tc>
          <w:tcPr>
            <w:tcW w:w="26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9200" w:type="dxa"/>
            <w:vAlign w:val="bottom"/>
          </w:tcPr>
          <w:p>
            <w:pPr>
              <w:ind w:left="240"/>
              <w:spacing w:after="0"/>
              <w:rPr>
                <w:sz w:val="20"/>
                <w:szCs w:val="20"/>
                <w:color w:val="auto"/>
              </w:rPr>
            </w:pPr>
            <w:r>
              <w:rPr>
                <w:rFonts w:ascii="Arial" w:cs="Arial" w:eastAsia="Arial" w:hAnsi="Arial"/>
                <w:sz w:val="18"/>
                <w:szCs w:val="18"/>
                <w:color w:val="auto"/>
              </w:rPr>
              <w:t>TRANSFER AND SURRENDER OF RECEIPTS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200" w:type="dxa"/>
            <w:vAlign w:val="bottom"/>
          </w:tcPr>
          <w:p>
            <w:pPr>
              <w:ind w:left="240"/>
              <w:spacing w:after="0"/>
              <w:rPr>
                <w:sz w:val="20"/>
                <w:szCs w:val="20"/>
                <w:color w:val="auto"/>
              </w:rPr>
            </w:pPr>
            <w:r>
              <w:rPr>
                <w:rFonts w:ascii="Arial" w:cs="Arial" w:eastAsia="Arial" w:hAnsi="Arial"/>
                <w:sz w:val="18"/>
                <w:szCs w:val="18"/>
                <w:color w:val="auto"/>
              </w:rPr>
              <w:t>Appointment of Depositary</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200" w:type="dxa"/>
            <w:vAlign w:val="bottom"/>
          </w:tcPr>
          <w:p>
            <w:pPr>
              <w:ind w:left="240"/>
              <w:spacing w:after="0"/>
              <w:rPr>
                <w:sz w:val="20"/>
                <w:szCs w:val="20"/>
                <w:color w:val="auto"/>
              </w:rPr>
            </w:pPr>
            <w:r>
              <w:rPr>
                <w:rFonts w:ascii="Arial" w:cs="Arial" w:eastAsia="Arial" w:hAnsi="Arial"/>
                <w:sz w:val="18"/>
                <w:szCs w:val="18"/>
                <w:color w:val="auto"/>
              </w:rPr>
              <w:t>Form and Transferability of ADSs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200" w:type="dxa"/>
            <w:vAlign w:val="bottom"/>
          </w:tcPr>
          <w:p>
            <w:pPr>
              <w:ind w:left="240"/>
              <w:spacing w:after="0"/>
              <w:rPr>
                <w:sz w:val="20"/>
                <w:szCs w:val="20"/>
                <w:color w:val="auto"/>
              </w:rPr>
            </w:pPr>
            <w:r>
              <w:rPr>
                <w:rFonts w:ascii="Arial" w:cs="Arial" w:eastAsia="Arial" w:hAnsi="Arial"/>
                <w:sz w:val="18"/>
                <w:szCs w:val="18"/>
                <w:color w:val="auto"/>
              </w:rPr>
              <w:t>Deposit of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200" w:type="dxa"/>
            <w:vAlign w:val="bottom"/>
          </w:tcPr>
          <w:p>
            <w:pPr>
              <w:ind w:left="240"/>
              <w:spacing w:after="0"/>
              <w:rPr>
                <w:sz w:val="20"/>
                <w:szCs w:val="20"/>
                <w:color w:val="auto"/>
              </w:rPr>
            </w:pPr>
            <w:r>
              <w:rPr>
                <w:rFonts w:ascii="Arial" w:cs="Arial" w:eastAsia="Arial" w:hAnsi="Arial"/>
                <w:sz w:val="18"/>
                <w:szCs w:val="18"/>
                <w:color w:val="auto"/>
              </w:rPr>
              <w:t>Registration and Safekeeping of Deposited Securities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4" w:right="499"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8380" w:type="dxa"/>
            <w:vAlign w:val="bottom"/>
          </w:tcPr>
          <w:p>
            <w:pPr>
              <w:ind w:left="240"/>
              <w:spacing w:after="0"/>
              <w:rPr>
                <w:sz w:val="20"/>
                <w:szCs w:val="20"/>
                <w:color w:val="auto"/>
              </w:rPr>
            </w:pPr>
            <w:r>
              <w:rPr>
                <w:rFonts w:ascii="Arial" w:cs="Arial" w:eastAsia="Arial" w:hAnsi="Arial"/>
                <w:sz w:val="18"/>
                <w:szCs w:val="18"/>
                <w:color w:val="auto"/>
              </w:rPr>
              <w:t>Issuance of ADSs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380" w:type="dxa"/>
            <w:vAlign w:val="bottom"/>
          </w:tcPr>
          <w:p>
            <w:pPr>
              <w:ind w:left="240"/>
              <w:spacing w:after="0"/>
              <w:rPr>
                <w:sz w:val="20"/>
                <w:szCs w:val="20"/>
                <w:color w:val="auto"/>
              </w:rPr>
            </w:pPr>
            <w:r>
              <w:rPr>
                <w:rFonts w:ascii="Arial" w:cs="Arial" w:eastAsia="Arial" w:hAnsi="Arial"/>
                <w:sz w:val="18"/>
                <w:szCs w:val="18"/>
                <w:color w:val="auto"/>
              </w:rPr>
              <w:t>Transfer, Combination and Split-up of ADRs</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8380" w:type="dxa"/>
            <w:vAlign w:val="bottom"/>
          </w:tcPr>
          <w:p>
            <w:pPr>
              <w:ind w:left="240"/>
              <w:spacing w:after="0"/>
              <w:rPr>
                <w:sz w:val="20"/>
                <w:szCs w:val="20"/>
                <w:color w:val="auto"/>
              </w:rPr>
            </w:pPr>
            <w:r>
              <w:rPr>
                <w:rFonts w:ascii="Arial" w:cs="Arial" w:eastAsia="Arial" w:hAnsi="Arial"/>
                <w:sz w:val="18"/>
                <w:szCs w:val="18"/>
                <w:color w:val="auto"/>
              </w:rPr>
              <w:t>Surrender of ADSs and Withdrawal of Deposited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8380" w:type="dxa"/>
            <w:vAlign w:val="bottom"/>
          </w:tcPr>
          <w:p>
            <w:pPr>
              <w:ind w:left="240"/>
              <w:spacing w:after="0"/>
              <w:rPr>
                <w:sz w:val="20"/>
                <w:szCs w:val="20"/>
                <w:color w:val="auto"/>
              </w:rPr>
            </w:pPr>
            <w:r>
              <w:rPr>
                <w:rFonts w:ascii="Arial" w:cs="Arial" w:eastAsia="Arial" w:hAnsi="Arial"/>
                <w:sz w:val="18"/>
                <w:szCs w:val="18"/>
                <w:color w:val="auto"/>
              </w:rPr>
              <w:t>Limitations on Execution and Delivery, Transfer, etc. of ADSs; Suspension of Delivery, Transfer, etc</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8380" w:type="dxa"/>
            <w:vAlign w:val="bottom"/>
          </w:tcPr>
          <w:p>
            <w:pPr>
              <w:ind w:left="240"/>
              <w:spacing w:after="0"/>
              <w:rPr>
                <w:sz w:val="20"/>
                <w:szCs w:val="20"/>
                <w:color w:val="auto"/>
              </w:rPr>
            </w:pPr>
            <w:r>
              <w:rPr>
                <w:rFonts w:ascii="Arial" w:cs="Arial" w:eastAsia="Arial" w:hAnsi="Arial"/>
                <w:sz w:val="18"/>
                <w:szCs w:val="18"/>
                <w:color w:val="auto"/>
              </w:rPr>
              <w:t>Lost ADRs, etc</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8380" w:type="dxa"/>
            <w:vAlign w:val="bottom"/>
          </w:tcPr>
          <w:p>
            <w:pPr>
              <w:ind w:left="24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8380" w:type="dxa"/>
            <w:vAlign w:val="bottom"/>
          </w:tcPr>
          <w:p>
            <w:pPr>
              <w:ind w:left="240"/>
              <w:spacing w:after="0"/>
              <w:rPr>
                <w:sz w:val="20"/>
                <w:szCs w:val="20"/>
                <w:color w:val="auto"/>
              </w:rPr>
            </w:pPr>
            <w:r>
              <w:rPr>
                <w:rFonts w:ascii="Arial" w:cs="Arial" w:eastAsia="Arial" w:hAnsi="Arial"/>
                <w:sz w:val="18"/>
                <w:szCs w:val="18"/>
                <w:color w:val="auto"/>
              </w:rPr>
              <w:t>Escheatment</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8380" w:type="dxa"/>
            <w:vAlign w:val="bottom"/>
          </w:tcPr>
          <w:p>
            <w:pPr>
              <w:ind w:left="240"/>
              <w:spacing w:after="0"/>
              <w:rPr>
                <w:sz w:val="20"/>
                <w:szCs w:val="20"/>
                <w:color w:val="auto"/>
              </w:rPr>
            </w:pPr>
            <w:r>
              <w:rPr>
                <w:rFonts w:ascii="Arial" w:cs="Arial" w:eastAsia="Arial" w:hAnsi="Arial"/>
                <w:sz w:val="18"/>
                <w:szCs w:val="18"/>
                <w:color w:val="auto"/>
              </w:rPr>
              <w:t>Partial Entitlement ADSs</w:t>
            </w: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8380" w:type="dxa"/>
            <w:vAlign w:val="bottom"/>
          </w:tcPr>
          <w:p>
            <w:pPr>
              <w:ind w:left="240"/>
              <w:spacing w:after="0"/>
              <w:rPr>
                <w:sz w:val="20"/>
                <w:szCs w:val="20"/>
                <w:color w:val="auto"/>
              </w:rPr>
            </w:pPr>
            <w:r>
              <w:rPr>
                <w:rFonts w:ascii="Arial" w:cs="Arial" w:eastAsia="Arial" w:hAnsi="Arial"/>
                <w:sz w:val="18"/>
                <w:szCs w:val="18"/>
                <w:color w:val="auto"/>
              </w:rPr>
              <w:t>Certificated/Uncertificated ADSs</w:t>
            </w: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8380" w:type="dxa"/>
            <w:vAlign w:val="bottom"/>
          </w:tcPr>
          <w:p>
            <w:pPr>
              <w:ind w:left="240"/>
              <w:spacing w:after="0"/>
              <w:rPr>
                <w:sz w:val="20"/>
                <w:szCs w:val="20"/>
                <w:color w:val="auto"/>
              </w:rPr>
            </w:pPr>
            <w:r>
              <w:rPr>
                <w:rFonts w:ascii="Arial" w:cs="Arial" w:eastAsia="Arial" w:hAnsi="Arial"/>
                <w:sz w:val="18"/>
                <w:szCs w:val="18"/>
                <w:color w:val="auto"/>
              </w:rPr>
              <w:t>Restricted ADSs</w:t>
            </w: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ARTICLE III</w:t>
            </w:r>
          </w:p>
        </w:tc>
        <w:tc>
          <w:tcPr>
            <w:tcW w:w="8380" w:type="dxa"/>
            <w:vAlign w:val="bottom"/>
          </w:tcPr>
          <w:p>
            <w:pPr>
              <w:ind w:left="240"/>
              <w:spacing w:after="0"/>
              <w:rPr>
                <w:sz w:val="20"/>
                <w:szCs w:val="20"/>
                <w:color w:val="auto"/>
              </w:rPr>
            </w:pPr>
            <w:r>
              <w:rPr>
                <w:rFonts w:ascii="Arial" w:cs="Arial" w:eastAsia="Arial" w:hAnsi="Arial"/>
                <w:sz w:val="18"/>
                <w:szCs w:val="18"/>
                <w:color w:val="auto"/>
              </w:rPr>
              <w:t>CERTAIN OBLIGATIONS OF HOLDERS AND BENEFICIAL OWNERS OF ADSs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380" w:type="dxa"/>
            <w:vAlign w:val="bottom"/>
          </w:tcPr>
          <w:p>
            <w:pPr>
              <w:ind w:left="240"/>
              <w:spacing w:after="0"/>
              <w:rPr>
                <w:sz w:val="20"/>
                <w:szCs w:val="20"/>
                <w:color w:val="auto"/>
              </w:rPr>
            </w:pPr>
            <w:r>
              <w:rPr>
                <w:rFonts w:ascii="Arial" w:cs="Arial" w:eastAsia="Arial" w:hAnsi="Arial"/>
                <w:sz w:val="18"/>
                <w:szCs w:val="18"/>
                <w:color w:val="auto"/>
              </w:rPr>
              <w:t>Proofs, Certificates and Other Information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380" w:type="dxa"/>
            <w:vAlign w:val="bottom"/>
          </w:tcPr>
          <w:p>
            <w:pPr>
              <w:ind w:left="240"/>
              <w:spacing w:after="0"/>
              <w:rPr>
                <w:sz w:val="20"/>
                <w:szCs w:val="20"/>
                <w:color w:val="auto"/>
              </w:rPr>
            </w:pPr>
            <w:r>
              <w:rPr>
                <w:rFonts w:ascii="Arial" w:cs="Arial" w:eastAsia="Arial" w:hAnsi="Arial"/>
                <w:sz w:val="18"/>
                <w:szCs w:val="18"/>
                <w:color w:val="auto"/>
              </w:rPr>
              <w:t>Liability for Taxes and Other Charges</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380" w:type="dxa"/>
            <w:vAlign w:val="bottom"/>
          </w:tcPr>
          <w:p>
            <w:pPr>
              <w:ind w:left="240"/>
              <w:spacing w:after="0"/>
              <w:rPr>
                <w:sz w:val="20"/>
                <w:szCs w:val="20"/>
                <w:color w:val="auto"/>
              </w:rPr>
            </w:pPr>
            <w:r>
              <w:rPr>
                <w:rFonts w:ascii="Arial" w:cs="Arial" w:eastAsia="Arial" w:hAnsi="Arial"/>
                <w:sz w:val="18"/>
                <w:szCs w:val="18"/>
                <w:color w:val="auto"/>
              </w:rPr>
              <w:t>Representations and Warranties on Deposit of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380" w:type="dxa"/>
            <w:vAlign w:val="bottom"/>
          </w:tcPr>
          <w:p>
            <w:pPr>
              <w:ind w:left="240"/>
              <w:spacing w:after="0"/>
              <w:rPr>
                <w:sz w:val="20"/>
                <w:szCs w:val="20"/>
                <w:color w:val="auto"/>
              </w:rPr>
            </w:pPr>
            <w:r>
              <w:rPr>
                <w:rFonts w:ascii="Arial" w:cs="Arial" w:eastAsia="Arial" w:hAnsi="Arial"/>
                <w:sz w:val="18"/>
                <w:szCs w:val="18"/>
                <w:color w:val="auto"/>
              </w:rPr>
              <w:t>Compliance with Information Requests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8380" w:type="dxa"/>
            <w:vAlign w:val="bottom"/>
          </w:tcPr>
          <w:p>
            <w:pPr>
              <w:ind w:left="240"/>
              <w:spacing w:after="0"/>
              <w:rPr>
                <w:sz w:val="20"/>
                <w:szCs w:val="20"/>
                <w:color w:val="auto"/>
              </w:rPr>
            </w:pPr>
            <w:r>
              <w:rPr>
                <w:rFonts w:ascii="Arial" w:cs="Arial" w:eastAsia="Arial" w:hAnsi="Arial"/>
                <w:sz w:val="18"/>
                <w:szCs w:val="18"/>
                <w:color w:val="auto"/>
              </w:rPr>
              <w:t>Ownership Restrictions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8380" w:type="dxa"/>
            <w:vAlign w:val="bottom"/>
          </w:tcPr>
          <w:p>
            <w:pPr>
              <w:ind w:left="240"/>
              <w:spacing w:after="0"/>
              <w:rPr>
                <w:sz w:val="20"/>
                <w:szCs w:val="20"/>
                <w:color w:val="auto"/>
              </w:rPr>
            </w:pPr>
            <w:r>
              <w:rPr>
                <w:rFonts w:ascii="Arial" w:cs="Arial" w:eastAsia="Arial" w:hAnsi="Arial"/>
                <w:sz w:val="18"/>
                <w:szCs w:val="18"/>
                <w:color w:val="auto"/>
              </w:rPr>
              <w:t>Reporting Obligations and Regulatory Approvals</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ARTICLE IV</w:t>
            </w:r>
          </w:p>
        </w:tc>
        <w:tc>
          <w:tcPr>
            <w:tcW w:w="8380" w:type="dxa"/>
            <w:vAlign w:val="bottom"/>
          </w:tcPr>
          <w:p>
            <w:pPr>
              <w:ind w:left="240"/>
              <w:spacing w:after="0"/>
              <w:rPr>
                <w:sz w:val="20"/>
                <w:szCs w:val="20"/>
                <w:color w:val="auto"/>
              </w:rPr>
            </w:pPr>
            <w:r>
              <w:rPr>
                <w:rFonts w:ascii="Arial" w:cs="Arial" w:eastAsia="Arial" w:hAnsi="Arial"/>
                <w:sz w:val="18"/>
                <w:szCs w:val="18"/>
                <w:color w:val="auto"/>
              </w:rPr>
              <w:t>THE DEPOSITED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380" w:type="dxa"/>
            <w:vAlign w:val="bottom"/>
          </w:tcPr>
          <w:p>
            <w:pPr>
              <w:ind w:left="240"/>
              <w:spacing w:after="0"/>
              <w:rPr>
                <w:sz w:val="20"/>
                <w:szCs w:val="20"/>
                <w:color w:val="auto"/>
              </w:rPr>
            </w:pPr>
            <w:r>
              <w:rPr>
                <w:rFonts w:ascii="Arial" w:cs="Arial" w:eastAsia="Arial" w:hAnsi="Arial"/>
                <w:sz w:val="18"/>
                <w:szCs w:val="18"/>
                <w:color w:val="auto"/>
              </w:rPr>
              <w:t>Cash Distributions</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380" w:type="dxa"/>
            <w:vAlign w:val="bottom"/>
          </w:tcPr>
          <w:p>
            <w:pPr>
              <w:ind w:left="240"/>
              <w:spacing w:after="0"/>
              <w:rPr>
                <w:sz w:val="20"/>
                <w:szCs w:val="20"/>
                <w:color w:val="auto"/>
              </w:rPr>
            </w:pPr>
            <w:r>
              <w:rPr>
                <w:rFonts w:ascii="Arial" w:cs="Arial" w:eastAsia="Arial" w:hAnsi="Arial"/>
                <w:sz w:val="18"/>
                <w:szCs w:val="18"/>
                <w:color w:val="auto"/>
              </w:rPr>
              <w:t>Distribution in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380" w:type="dxa"/>
            <w:vAlign w:val="bottom"/>
          </w:tcPr>
          <w:p>
            <w:pPr>
              <w:ind w:left="240"/>
              <w:spacing w:after="0"/>
              <w:rPr>
                <w:sz w:val="20"/>
                <w:szCs w:val="20"/>
                <w:color w:val="auto"/>
              </w:rPr>
            </w:pPr>
            <w:r>
              <w:rPr>
                <w:rFonts w:ascii="Arial" w:cs="Arial" w:eastAsia="Arial" w:hAnsi="Arial"/>
                <w:sz w:val="18"/>
                <w:szCs w:val="18"/>
                <w:color w:val="auto"/>
              </w:rPr>
              <w:t>Elective Distributions in Cash or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380" w:type="dxa"/>
            <w:vAlign w:val="bottom"/>
          </w:tcPr>
          <w:p>
            <w:pPr>
              <w:ind w:left="240"/>
              <w:spacing w:after="0"/>
              <w:rPr>
                <w:sz w:val="20"/>
                <w:szCs w:val="20"/>
                <w:color w:val="auto"/>
              </w:rPr>
            </w:pPr>
            <w:r>
              <w:rPr>
                <w:rFonts w:ascii="Arial" w:cs="Arial" w:eastAsia="Arial" w:hAnsi="Arial"/>
                <w:sz w:val="18"/>
                <w:szCs w:val="18"/>
                <w:color w:val="auto"/>
              </w:rPr>
              <w:t>Distribution of Rights to Purchase Additional ADSs</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8380" w:type="dxa"/>
            <w:vAlign w:val="bottom"/>
          </w:tcPr>
          <w:p>
            <w:pPr>
              <w:ind w:left="24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8380" w:type="dxa"/>
            <w:vAlign w:val="bottom"/>
          </w:tcPr>
          <w:p>
            <w:pPr>
              <w:ind w:left="24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8380" w:type="dxa"/>
            <w:vAlign w:val="bottom"/>
          </w:tcPr>
          <w:p>
            <w:pPr>
              <w:ind w:left="240"/>
              <w:spacing w:after="0"/>
              <w:rPr>
                <w:sz w:val="20"/>
                <w:szCs w:val="20"/>
                <w:color w:val="auto"/>
              </w:rPr>
            </w:pPr>
            <w:r>
              <w:rPr>
                <w:rFonts w:ascii="Arial" w:cs="Arial" w:eastAsia="Arial" w:hAnsi="Arial"/>
                <w:sz w:val="18"/>
                <w:szCs w:val="18"/>
                <w:color w:val="auto"/>
              </w:rPr>
              <w:t>Redemption</w:t>
            </w: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8380" w:type="dxa"/>
            <w:vAlign w:val="bottom"/>
          </w:tcPr>
          <w:p>
            <w:pPr>
              <w:ind w:left="240"/>
              <w:spacing w:after="0"/>
              <w:rPr>
                <w:sz w:val="20"/>
                <w:szCs w:val="20"/>
                <w:color w:val="auto"/>
              </w:rPr>
            </w:pPr>
            <w:r>
              <w:rPr>
                <w:rFonts w:ascii="Arial" w:cs="Arial" w:eastAsia="Arial" w:hAnsi="Arial"/>
                <w:sz w:val="18"/>
                <w:szCs w:val="18"/>
                <w:color w:val="auto"/>
              </w:rPr>
              <w:t>Conversion of Foreign Currency</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8380" w:type="dxa"/>
            <w:vAlign w:val="bottom"/>
          </w:tcPr>
          <w:p>
            <w:pPr>
              <w:ind w:left="240"/>
              <w:spacing w:after="0"/>
              <w:rPr>
                <w:sz w:val="20"/>
                <w:szCs w:val="20"/>
                <w:color w:val="auto"/>
              </w:rPr>
            </w:pPr>
            <w:r>
              <w:rPr>
                <w:rFonts w:ascii="Arial" w:cs="Arial" w:eastAsia="Arial" w:hAnsi="Arial"/>
                <w:sz w:val="18"/>
                <w:szCs w:val="18"/>
                <w:color w:val="auto"/>
              </w:rPr>
              <w:t>Fixing of ADS Record Date</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8380" w:type="dxa"/>
            <w:vAlign w:val="bottom"/>
          </w:tcPr>
          <w:p>
            <w:pPr>
              <w:ind w:left="240"/>
              <w:spacing w:after="0"/>
              <w:rPr>
                <w:sz w:val="20"/>
                <w:szCs w:val="20"/>
                <w:color w:val="auto"/>
              </w:rPr>
            </w:pPr>
            <w:r>
              <w:rPr>
                <w:rFonts w:ascii="Arial" w:cs="Arial" w:eastAsia="Arial" w:hAnsi="Arial"/>
                <w:sz w:val="18"/>
                <w:szCs w:val="18"/>
                <w:color w:val="auto"/>
              </w:rPr>
              <w:t>Voting of Deposited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8380" w:type="dxa"/>
            <w:vAlign w:val="bottom"/>
          </w:tcPr>
          <w:p>
            <w:pPr>
              <w:ind w:left="240"/>
              <w:spacing w:after="0"/>
              <w:rPr>
                <w:sz w:val="20"/>
                <w:szCs w:val="20"/>
                <w:color w:val="auto"/>
              </w:rPr>
            </w:pPr>
            <w:r>
              <w:rPr>
                <w:rFonts w:ascii="Arial" w:cs="Arial" w:eastAsia="Arial" w:hAnsi="Arial"/>
                <w:sz w:val="18"/>
                <w:szCs w:val="18"/>
                <w:color w:val="auto"/>
              </w:rPr>
              <w:t>Changes Affecting Deposited Securities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4.12</w:t>
            </w:r>
          </w:p>
        </w:tc>
        <w:tc>
          <w:tcPr>
            <w:tcW w:w="8380" w:type="dxa"/>
            <w:vAlign w:val="bottom"/>
          </w:tcPr>
          <w:p>
            <w:pPr>
              <w:ind w:left="240"/>
              <w:spacing w:after="0"/>
              <w:rPr>
                <w:sz w:val="20"/>
                <w:szCs w:val="20"/>
                <w:color w:val="auto"/>
              </w:rPr>
            </w:pPr>
            <w:r>
              <w:rPr>
                <w:rFonts w:ascii="Arial" w:cs="Arial" w:eastAsia="Arial" w:hAnsi="Arial"/>
                <w:sz w:val="18"/>
                <w:szCs w:val="18"/>
                <w:color w:val="auto"/>
              </w:rPr>
              <w:t>Available Information</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4.13</w:t>
            </w:r>
          </w:p>
        </w:tc>
        <w:tc>
          <w:tcPr>
            <w:tcW w:w="8380" w:type="dxa"/>
            <w:vAlign w:val="bottom"/>
          </w:tcPr>
          <w:p>
            <w:pPr>
              <w:ind w:left="240"/>
              <w:spacing w:after="0"/>
              <w:rPr>
                <w:sz w:val="20"/>
                <w:szCs w:val="20"/>
                <w:color w:val="auto"/>
              </w:rPr>
            </w:pPr>
            <w:r>
              <w:rPr>
                <w:rFonts w:ascii="Arial" w:cs="Arial" w:eastAsia="Arial" w:hAnsi="Arial"/>
                <w:sz w:val="18"/>
                <w:szCs w:val="18"/>
                <w:color w:val="auto"/>
              </w:rPr>
              <w:t>Reports</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4.14</w:t>
            </w:r>
          </w:p>
        </w:tc>
        <w:tc>
          <w:tcPr>
            <w:tcW w:w="8380" w:type="dxa"/>
            <w:vAlign w:val="bottom"/>
          </w:tcPr>
          <w:p>
            <w:pPr>
              <w:ind w:left="240"/>
              <w:spacing w:after="0"/>
              <w:rPr>
                <w:sz w:val="20"/>
                <w:szCs w:val="20"/>
                <w:color w:val="auto"/>
              </w:rPr>
            </w:pPr>
            <w:r>
              <w:rPr>
                <w:rFonts w:ascii="Arial" w:cs="Arial" w:eastAsia="Arial" w:hAnsi="Arial"/>
                <w:sz w:val="18"/>
                <w:szCs w:val="18"/>
                <w:color w:val="auto"/>
              </w:rPr>
              <w:t>List of Holders</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4.15</w:t>
            </w:r>
          </w:p>
        </w:tc>
        <w:tc>
          <w:tcPr>
            <w:tcW w:w="8380" w:type="dxa"/>
            <w:vAlign w:val="bottom"/>
          </w:tcPr>
          <w:p>
            <w:pPr>
              <w:ind w:left="240"/>
              <w:spacing w:after="0"/>
              <w:rPr>
                <w:sz w:val="20"/>
                <w:szCs w:val="20"/>
                <w:color w:val="auto"/>
              </w:rPr>
            </w:pPr>
            <w:r>
              <w:rPr>
                <w:rFonts w:ascii="Arial" w:cs="Arial" w:eastAsia="Arial" w:hAnsi="Arial"/>
                <w:sz w:val="18"/>
                <w:szCs w:val="18"/>
                <w:color w:val="auto"/>
              </w:rPr>
              <w:t>Taxation</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ARTICLE V</w:t>
            </w:r>
          </w:p>
        </w:tc>
        <w:tc>
          <w:tcPr>
            <w:tcW w:w="8380" w:type="dxa"/>
            <w:vAlign w:val="bottom"/>
          </w:tcPr>
          <w:p>
            <w:pPr>
              <w:ind w:left="240"/>
              <w:spacing w:after="0"/>
              <w:rPr>
                <w:sz w:val="20"/>
                <w:szCs w:val="20"/>
                <w:color w:val="auto"/>
              </w:rPr>
            </w:pPr>
            <w:r>
              <w:rPr>
                <w:rFonts w:ascii="Arial" w:cs="Arial" w:eastAsia="Arial" w:hAnsi="Arial"/>
                <w:sz w:val="18"/>
                <w:szCs w:val="18"/>
                <w:color w:val="auto"/>
              </w:rPr>
              <w:t>THE DEPOSITARY, THE CUSTODIAN AND THE COMPANY</w:t>
            </w: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380" w:type="dxa"/>
            <w:vAlign w:val="bottom"/>
          </w:tcPr>
          <w:p>
            <w:pPr>
              <w:ind w:left="240"/>
              <w:spacing w:after="0"/>
              <w:rPr>
                <w:sz w:val="20"/>
                <w:szCs w:val="20"/>
                <w:color w:val="auto"/>
              </w:rPr>
            </w:pPr>
            <w:r>
              <w:rPr>
                <w:rFonts w:ascii="Arial" w:cs="Arial" w:eastAsia="Arial" w:hAnsi="Arial"/>
                <w:sz w:val="18"/>
                <w:szCs w:val="18"/>
                <w:color w:val="auto"/>
              </w:rPr>
              <w:t>Maintenance of Office and Transfer Books by the Registrar</w:t>
            </w: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380" w:type="dxa"/>
            <w:vAlign w:val="bottom"/>
          </w:tcPr>
          <w:p>
            <w:pPr>
              <w:ind w:left="240"/>
              <w:spacing w:after="0"/>
              <w:rPr>
                <w:sz w:val="20"/>
                <w:szCs w:val="20"/>
                <w:color w:val="auto"/>
              </w:rPr>
            </w:pPr>
            <w:r>
              <w:rPr>
                <w:rFonts w:ascii="Arial" w:cs="Arial" w:eastAsia="Arial" w:hAnsi="Arial"/>
                <w:sz w:val="18"/>
                <w:szCs w:val="18"/>
                <w:color w:val="auto"/>
              </w:rPr>
              <w:t>Exoneration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380" w:type="dxa"/>
            <w:vAlign w:val="bottom"/>
          </w:tcPr>
          <w:p>
            <w:pPr>
              <w:ind w:left="240"/>
              <w:spacing w:after="0"/>
              <w:rPr>
                <w:sz w:val="20"/>
                <w:szCs w:val="20"/>
                <w:color w:val="auto"/>
              </w:rPr>
            </w:pPr>
            <w:r>
              <w:rPr>
                <w:rFonts w:ascii="Arial" w:cs="Arial" w:eastAsia="Arial" w:hAnsi="Arial"/>
                <w:sz w:val="18"/>
                <w:szCs w:val="18"/>
                <w:color w:val="auto"/>
              </w:rPr>
              <w:t>Standard of Care</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380" w:type="dxa"/>
            <w:vAlign w:val="bottom"/>
          </w:tcPr>
          <w:p>
            <w:pPr>
              <w:ind w:left="24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8380" w:type="dxa"/>
            <w:vAlign w:val="bottom"/>
          </w:tcPr>
          <w:p>
            <w:pPr>
              <w:ind w:left="240"/>
              <w:spacing w:after="0"/>
              <w:rPr>
                <w:sz w:val="20"/>
                <w:szCs w:val="20"/>
                <w:color w:val="auto"/>
              </w:rPr>
            </w:pPr>
            <w:r>
              <w:rPr>
                <w:rFonts w:ascii="Arial" w:cs="Arial" w:eastAsia="Arial" w:hAnsi="Arial"/>
                <w:sz w:val="18"/>
                <w:szCs w:val="18"/>
                <w:color w:val="auto"/>
              </w:rPr>
              <w:t>The Custodian</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8380" w:type="dxa"/>
            <w:vAlign w:val="bottom"/>
          </w:tcPr>
          <w:p>
            <w:pPr>
              <w:ind w:left="240"/>
              <w:spacing w:after="0"/>
              <w:rPr>
                <w:sz w:val="20"/>
                <w:szCs w:val="20"/>
                <w:color w:val="auto"/>
              </w:rPr>
            </w:pPr>
            <w:r>
              <w:rPr>
                <w:rFonts w:ascii="Arial" w:cs="Arial" w:eastAsia="Arial" w:hAnsi="Arial"/>
                <w:sz w:val="18"/>
                <w:szCs w:val="18"/>
                <w:color w:val="auto"/>
              </w:rPr>
              <w:t>Notices and Reports</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7080" w:type="dxa"/>
            <w:vAlign w:val="bottom"/>
          </w:tcPr>
          <w:p>
            <w:pPr>
              <w:ind w:left="240"/>
              <w:spacing w:after="0"/>
              <w:rPr>
                <w:sz w:val="20"/>
                <w:szCs w:val="20"/>
                <w:color w:val="auto"/>
              </w:rPr>
            </w:pPr>
            <w:r>
              <w:rPr>
                <w:rFonts w:ascii="Arial" w:cs="Arial" w:eastAsia="Arial" w:hAnsi="Arial"/>
                <w:sz w:val="18"/>
                <w:szCs w:val="18"/>
                <w:color w:val="auto"/>
              </w:rPr>
              <w:t>Issuance of Additional Shares, ADSs etc</w:t>
            </w:r>
          </w:p>
        </w:tc>
        <w:tc>
          <w:tcPr>
            <w:tcW w:w="2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7080" w:type="dxa"/>
            <w:vAlign w:val="bottom"/>
          </w:tcPr>
          <w:p>
            <w:pPr>
              <w:ind w:left="240"/>
              <w:spacing w:after="0"/>
              <w:rPr>
                <w:sz w:val="20"/>
                <w:szCs w:val="20"/>
                <w:color w:val="auto"/>
              </w:rPr>
            </w:pPr>
            <w:r>
              <w:rPr>
                <w:rFonts w:ascii="Arial" w:cs="Arial" w:eastAsia="Arial" w:hAnsi="Arial"/>
                <w:sz w:val="18"/>
                <w:szCs w:val="18"/>
                <w:color w:val="auto"/>
              </w:rPr>
              <w:t>Indemnification</w:t>
            </w:r>
          </w:p>
        </w:tc>
        <w:tc>
          <w:tcPr>
            <w:tcW w:w="2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7080" w:type="dxa"/>
            <w:vAlign w:val="bottom"/>
          </w:tcPr>
          <w:p>
            <w:pPr>
              <w:ind w:left="240"/>
              <w:spacing w:after="0"/>
              <w:rPr>
                <w:sz w:val="20"/>
                <w:szCs w:val="20"/>
                <w:color w:val="auto"/>
              </w:rPr>
            </w:pPr>
            <w:r>
              <w:rPr>
                <w:rFonts w:ascii="Arial" w:cs="Arial" w:eastAsia="Arial" w:hAnsi="Arial"/>
                <w:sz w:val="18"/>
                <w:szCs w:val="18"/>
                <w:color w:val="auto"/>
              </w:rPr>
              <w:t>ADS Fees and Charges</w:t>
            </w:r>
          </w:p>
        </w:tc>
        <w:tc>
          <w:tcPr>
            <w:tcW w:w="2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7080" w:type="dxa"/>
            <w:vAlign w:val="bottom"/>
          </w:tcPr>
          <w:p>
            <w:pPr>
              <w:ind w:left="240"/>
              <w:spacing w:after="0"/>
              <w:rPr>
                <w:sz w:val="20"/>
                <w:szCs w:val="20"/>
                <w:color w:val="auto"/>
              </w:rPr>
            </w:pPr>
            <w:r>
              <w:rPr>
                <w:rFonts w:ascii="Arial" w:cs="Arial" w:eastAsia="Arial" w:hAnsi="Arial"/>
                <w:sz w:val="18"/>
                <w:szCs w:val="18"/>
                <w:color w:val="auto"/>
              </w:rPr>
              <w:t>Restricted Securities Owners</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ARTICLE VI</w:t>
            </w:r>
          </w:p>
        </w:tc>
        <w:tc>
          <w:tcPr>
            <w:tcW w:w="7080" w:type="dxa"/>
            <w:vAlign w:val="bottom"/>
          </w:tcPr>
          <w:p>
            <w:pPr>
              <w:ind w:left="240"/>
              <w:spacing w:after="0"/>
              <w:rPr>
                <w:sz w:val="20"/>
                <w:szCs w:val="20"/>
                <w:color w:val="auto"/>
              </w:rPr>
            </w:pPr>
            <w:r>
              <w:rPr>
                <w:rFonts w:ascii="Arial" w:cs="Arial" w:eastAsia="Arial" w:hAnsi="Arial"/>
                <w:sz w:val="18"/>
                <w:szCs w:val="18"/>
                <w:color w:val="auto"/>
              </w:rPr>
              <w:t>AMENDMENT AND TERMINATION</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080" w:type="dxa"/>
            <w:vAlign w:val="bottom"/>
          </w:tcPr>
          <w:p>
            <w:pPr>
              <w:ind w:left="240"/>
              <w:spacing w:after="0"/>
              <w:rPr>
                <w:sz w:val="20"/>
                <w:szCs w:val="20"/>
                <w:color w:val="auto"/>
              </w:rPr>
            </w:pPr>
            <w:r>
              <w:rPr>
                <w:rFonts w:ascii="Arial" w:cs="Arial" w:eastAsia="Arial" w:hAnsi="Arial"/>
                <w:sz w:val="18"/>
                <w:szCs w:val="18"/>
                <w:color w:val="auto"/>
              </w:rPr>
              <w:t>Amendment/Supplement</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080" w:type="dxa"/>
            <w:vAlign w:val="bottom"/>
          </w:tcPr>
          <w:p>
            <w:pPr>
              <w:ind w:left="240"/>
              <w:spacing w:after="0"/>
              <w:rPr>
                <w:sz w:val="20"/>
                <w:szCs w:val="20"/>
                <w:color w:val="auto"/>
              </w:rPr>
            </w:pPr>
            <w:r>
              <w:rPr>
                <w:rFonts w:ascii="Arial" w:cs="Arial" w:eastAsia="Arial" w:hAnsi="Arial"/>
                <w:sz w:val="18"/>
                <w:szCs w:val="18"/>
                <w:color w:val="auto"/>
              </w:rPr>
              <w:t>Termination</w:t>
            </w:r>
          </w:p>
        </w:tc>
        <w:tc>
          <w:tcPr>
            <w:tcW w:w="23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ARTICLE VII</w:t>
            </w:r>
          </w:p>
        </w:tc>
        <w:tc>
          <w:tcPr>
            <w:tcW w:w="7080" w:type="dxa"/>
            <w:vAlign w:val="bottom"/>
          </w:tcPr>
          <w:p>
            <w:pPr>
              <w:ind w:left="240"/>
              <w:spacing w:after="0"/>
              <w:rPr>
                <w:sz w:val="20"/>
                <w:szCs w:val="20"/>
                <w:color w:val="auto"/>
              </w:rPr>
            </w:pPr>
            <w:r>
              <w:rPr>
                <w:rFonts w:ascii="Arial" w:cs="Arial" w:eastAsia="Arial" w:hAnsi="Arial"/>
                <w:sz w:val="18"/>
                <w:szCs w:val="18"/>
                <w:color w:val="auto"/>
              </w:rPr>
              <w:t>MISCELLANEOUS</w:t>
            </w:r>
          </w:p>
        </w:tc>
        <w:tc>
          <w:tcPr>
            <w:tcW w:w="2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0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080" w:type="dxa"/>
            <w:vAlign w:val="bottom"/>
          </w:tcPr>
          <w:p>
            <w:pPr>
              <w:ind w:left="240"/>
              <w:spacing w:after="0"/>
              <w:rPr>
                <w:sz w:val="20"/>
                <w:szCs w:val="20"/>
                <w:color w:val="auto"/>
              </w:rPr>
            </w:pPr>
            <w:r>
              <w:rPr>
                <w:rFonts w:ascii="Arial" w:cs="Arial" w:eastAsia="Arial" w:hAnsi="Arial"/>
                <w:sz w:val="18"/>
                <w:szCs w:val="18"/>
                <w:color w:val="auto"/>
              </w:rPr>
              <w:t>No Third-Party Beneficiaries/Acknowledgments</w:t>
            </w:r>
          </w:p>
        </w:tc>
        <w:tc>
          <w:tcPr>
            <w:tcW w:w="2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08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080" w:type="dxa"/>
            <w:vAlign w:val="bottom"/>
          </w:tcPr>
          <w:p>
            <w:pPr>
              <w:ind w:left="240"/>
              <w:spacing w:after="0"/>
              <w:rPr>
                <w:sz w:val="20"/>
                <w:szCs w:val="20"/>
                <w:color w:val="auto"/>
              </w:rPr>
            </w:pPr>
            <w:r>
              <w:rPr>
                <w:rFonts w:ascii="Arial" w:cs="Arial" w:eastAsia="Arial" w:hAnsi="Arial"/>
                <w:sz w:val="18"/>
                <w:szCs w:val="18"/>
                <w:color w:val="auto"/>
              </w:rPr>
              <w:t>Holders and Beneficial Owners as Parties; Binding Effect</w:t>
            </w:r>
          </w:p>
        </w:tc>
        <w:tc>
          <w:tcPr>
            <w:tcW w:w="2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70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3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7080" w:type="dxa"/>
            <w:vAlign w:val="bottom"/>
          </w:tcPr>
          <w:p>
            <w:pPr>
              <w:ind w:left="240"/>
              <w:spacing w:after="0"/>
              <w:rPr>
                <w:sz w:val="20"/>
                <w:szCs w:val="20"/>
                <w:color w:val="auto"/>
              </w:rPr>
            </w:pPr>
            <w:r>
              <w:rPr>
                <w:rFonts w:ascii="Arial" w:cs="Arial" w:eastAsia="Arial" w:hAnsi="Arial"/>
                <w:sz w:val="18"/>
                <w:szCs w:val="18"/>
                <w:color w:val="auto"/>
              </w:rPr>
              <w:t>Governing Law and Jurisdiction</w:t>
            </w:r>
          </w:p>
        </w:tc>
        <w:tc>
          <w:tcPr>
            <w:tcW w:w="23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7080" w:type="dxa"/>
            <w:vAlign w:val="bottom"/>
          </w:tcPr>
          <w:p>
            <w:pPr>
              <w:ind w:left="240"/>
              <w:spacing w:after="0"/>
              <w:rPr>
                <w:sz w:val="20"/>
                <w:szCs w:val="20"/>
                <w:color w:val="auto"/>
              </w:rPr>
            </w:pPr>
            <w:r>
              <w:rPr>
                <w:rFonts w:ascii="Arial" w:cs="Arial" w:eastAsia="Arial" w:hAnsi="Arial"/>
                <w:sz w:val="18"/>
                <w:szCs w:val="18"/>
                <w:color w:val="auto"/>
              </w:rPr>
              <w:t>Assignment</w:t>
            </w:r>
          </w:p>
        </w:tc>
        <w:tc>
          <w:tcPr>
            <w:tcW w:w="2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7080" w:type="dxa"/>
            <w:vAlign w:val="bottom"/>
          </w:tcPr>
          <w:p>
            <w:pPr>
              <w:ind w:left="240"/>
              <w:spacing w:after="0"/>
              <w:rPr>
                <w:sz w:val="20"/>
                <w:szCs w:val="20"/>
                <w:color w:val="auto"/>
              </w:rPr>
            </w:pPr>
            <w:r>
              <w:rPr>
                <w:rFonts w:ascii="Arial" w:cs="Arial" w:eastAsia="Arial" w:hAnsi="Arial"/>
                <w:sz w:val="18"/>
                <w:szCs w:val="18"/>
                <w:color w:val="auto"/>
              </w:rPr>
              <w:t>Compliance with, and No Disclaimer under, U.S. Securities Laws</w:t>
            </w:r>
          </w:p>
        </w:tc>
        <w:tc>
          <w:tcPr>
            <w:tcW w:w="23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7.9</w:t>
            </w:r>
          </w:p>
        </w:tc>
        <w:tc>
          <w:tcPr>
            <w:tcW w:w="7080" w:type="dxa"/>
            <w:vAlign w:val="bottom"/>
          </w:tcPr>
          <w:p>
            <w:pPr>
              <w:ind w:left="240"/>
              <w:spacing w:after="0"/>
              <w:rPr>
                <w:sz w:val="20"/>
                <w:szCs w:val="20"/>
                <w:color w:val="auto"/>
              </w:rPr>
            </w:pPr>
            <w:r>
              <w:rPr>
                <w:rFonts w:ascii="Arial" w:cs="Arial" w:eastAsia="Arial" w:hAnsi="Arial"/>
                <w:sz w:val="18"/>
                <w:szCs w:val="18"/>
                <w:color w:val="auto"/>
              </w:rPr>
              <w:t>Cayman Islands Law References</w:t>
            </w:r>
          </w:p>
        </w:tc>
        <w:tc>
          <w:tcPr>
            <w:tcW w:w="2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080" w:type="dxa"/>
            <w:vAlign w:val="bottom"/>
          </w:tcPr>
          <w:p>
            <w:pPr>
              <w:ind w:left="240"/>
              <w:spacing w:after="0"/>
              <w:rPr>
                <w:sz w:val="20"/>
                <w:szCs w:val="20"/>
                <w:color w:val="auto"/>
              </w:rPr>
            </w:pPr>
            <w:r>
              <w:rPr>
                <w:rFonts w:ascii="Arial" w:cs="Arial" w:eastAsia="Arial" w:hAnsi="Arial"/>
                <w:sz w:val="18"/>
                <w:szCs w:val="18"/>
                <w:color w:val="auto"/>
              </w:rPr>
              <w:t>Titles and References</w:t>
            </w:r>
          </w:p>
        </w:tc>
        <w:tc>
          <w:tcPr>
            <w:tcW w:w="23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500" w:type="dxa"/>
            <w:vAlign w:val="bottom"/>
          </w:tcPr>
          <w:p>
            <w:pPr>
              <w:spacing w:after="0"/>
              <w:rPr>
                <w:sz w:val="20"/>
                <w:szCs w:val="20"/>
                <w:color w:val="auto"/>
              </w:rPr>
            </w:pPr>
            <w:r>
              <w:rPr>
                <w:rFonts w:ascii="Arial" w:cs="Arial" w:eastAsia="Arial" w:hAnsi="Arial"/>
                <w:sz w:val="18"/>
                <w:szCs w:val="18"/>
                <w:color w:val="auto"/>
              </w:rPr>
              <w:t>EXHIBITS</w:t>
            </w:r>
          </w:p>
        </w:tc>
        <w:tc>
          <w:tcPr>
            <w:tcW w:w="70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45"/>
        </w:trPr>
        <w:tc>
          <w:tcPr>
            <w:tcW w:w="1500" w:type="dxa"/>
            <w:vAlign w:val="bottom"/>
          </w:tcPr>
          <w:p>
            <w:pPr>
              <w:spacing w:after="0"/>
              <w:rPr>
                <w:sz w:val="24"/>
                <w:szCs w:val="24"/>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Form of ADR</w:t>
            </w:r>
          </w:p>
        </w:tc>
        <w:tc>
          <w:tcPr>
            <w:tcW w:w="23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500" w:type="dxa"/>
            <w:vAlign w:val="bottom"/>
          </w:tcPr>
          <w:p>
            <w:pPr>
              <w:spacing w:after="0"/>
              <w:rPr>
                <w:sz w:val="20"/>
                <w:szCs w:val="20"/>
                <w:color w:val="auto"/>
              </w:rPr>
            </w:pPr>
          </w:p>
        </w:tc>
        <w:tc>
          <w:tcPr>
            <w:tcW w:w="7080" w:type="dxa"/>
            <w:vAlign w:val="bottom"/>
          </w:tcPr>
          <w:p>
            <w:pPr>
              <w:ind w:left="240"/>
              <w:spacing w:after="0"/>
              <w:rPr>
                <w:sz w:val="20"/>
                <w:szCs w:val="20"/>
                <w:color w:val="auto"/>
              </w:rPr>
            </w:pPr>
            <w:r>
              <w:rPr>
                <w:rFonts w:ascii="Arial" w:cs="Arial" w:eastAsia="Arial" w:hAnsi="Arial"/>
                <w:sz w:val="18"/>
                <w:szCs w:val="18"/>
                <w:color w:val="auto"/>
              </w:rPr>
              <w:t>Fee Schedule</w:t>
            </w:r>
          </w:p>
        </w:tc>
        <w:tc>
          <w:tcPr>
            <w:tcW w:w="2380" w:type="dxa"/>
            <w:vAlign w:val="bottom"/>
          </w:tcPr>
          <w:p>
            <w:pPr>
              <w:jc w:val="right"/>
              <w:spacing w:after="0"/>
              <w:rPr>
                <w:sz w:val="20"/>
                <w:szCs w:val="20"/>
                <w:color w:val="auto"/>
              </w:rPr>
            </w:pPr>
            <w:r>
              <w:rPr>
                <w:rFonts w:ascii="Arial" w:cs="Arial" w:eastAsia="Arial" w:hAnsi="Arial"/>
                <w:sz w:val="18"/>
                <w:szCs w:val="18"/>
                <w:color w:val="auto"/>
              </w:rPr>
              <w:t>B-1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356" w:name="page357"/>
    <w:bookmarkEnd w:id="3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 AGREEMENT</w:t>
      </w:r>
    </w:p>
    <w:p>
      <w:pPr>
        <w:spacing w:after="0" w:line="22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DEPOSIT AGREEMENT</w:t>
      </w:r>
      <w:r>
        <w:rPr>
          <w:rFonts w:ascii="Arial" w:cs="Arial" w:eastAsia="Arial" w:hAnsi="Arial"/>
          <w:sz w:val="18"/>
          <w:szCs w:val="18"/>
          <w:color w:val="auto"/>
        </w:rPr>
        <w:t>, dated as of [•], 2021, by and among (i) AIHUISHOU INTERNATIONAL CO. LTD., an exempted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with limited liability under the laws of the Cayman Islands, and its successors (the “</w:t>
      </w:r>
      <w:r>
        <w:rPr>
          <w:rFonts w:ascii="Arial" w:cs="Arial" w:eastAsia="Arial" w:hAnsi="Arial"/>
          <w:sz w:val="18"/>
          <w:szCs w:val="18"/>
          <w:u w:val="single" w:color="auto"/>
          <w:color w:val="auto"/>
        </w:rPr>
        <w:t>Company</w:t>
      </w:r>
      <w:r>
        <w:rPr>
          <w:rFonts w:ascii="Arial" w:cs="Arial" w:eastAsia="Arial" w:hAnsi="Arial"/>
          <w:sz w:val="18"/>
          <w:szCs w:val="18"/>
          <w:color w:val="auto"/>
        </w:rPr>
        <w:t>”), (ii) CITIBANK, N.A., a national banking association organized under the laws of the United States of America (“</w:t>
      </w:r>
      <w:r>
        <w:rPr>
          <w:rFonts w:ascii="Arial" w:cs="Arial" w:eastAsia="Arial" w:hAnsi="Arial"/>
          <w:sz w:val="18"/>
          <w:szCs w:val="18"/>
          <w:u w:val="single" w:color="auto"/>
          <w:color w:val="auto"/>
        </w:rPr>
        <w:t>Citibank</w:t>
      </w:r>
      <w:r>
        <w:rPr>
          <w:rFonts w:ascii="Arial" w:cs="Arial" w:eastAsia="Arial" w:hAnsi="Arial"/>
          <w:sz w:val="18"/>
          <w:szCs w:val="18"/>
          <w:color w:val="auto"/>
        </w:rPr>
        <w:t>”) acting in its capacity as depositary, and any successor depositary hereunder (Citibank in such capacity,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(iii) all Holders and Beneficial Owners of American Depositary Shares issued hereunder (all such capitalized terms as hereinafter defined).</w:t>
      </w:r>
    </w:p>
    <w:p>
      <w:pPr>
        <w:spacing w:after="0" w:line="399"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W I T N E S S E T H</w:t>
      </w:r>
      <w:r>
        <w:rPr>
          <w:sz w:val="20"/>
          <w:szCs w:val="20"/>
          <w:color w:val="auto"/>
        </w:rPr>
        <w:tab/>
      </w:r>
      <w:r>
        <w:rPr>
          <w:rFonts w:ascii="Arial" w:cs="Arial" w:eastAsia="Arial" w:hAnsi="Arial"/>
          <w:sz w:val="17"/>
          <w:szCs w:val="17"/>
          <w:b w:val="1"/>
          <w:bCs w:val="1"/>
          <w:color w:val="auto"/>
        </w:rPr>
        <w:t>T H A T</w:t>
      </w:r>
      <w:r>
        <w:rPr>
          <w:rFonts w:ascii="Arial" w:cs="Arial" w:eastAsia="Arial" w:hAnsi="Arial"/>
          <w:sz w:val="17"/>
          <w:szCs w:val="17"/>
          <w:color w:val="auto"/>
        </w:rPr>
        <w:t>:</w:t>
      </w:r>
    </w:p>
    <w:p>
      <w:pPr>
        <w:spacing w:after="0" w:line="225" w:lineRule="exact"/>
        <w:rPr>
          <w:sz w:val="20"/>
          <w:szCs w:val="20"/>
          <w:color w:val="auto"/>
        </w:rPr>
      </w:pPr>
    </w:p>
    <w:p>
      <w:pPr>
        <w:jc w:val="both"/>
        <w:ind w:right="60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establish with the Depositary an ADR facility to provide for the deposit of the Shares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42"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42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any American Depositary Receipts issued pursuant to the terms of the Deposit Agreement are to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with appropriate insertions, modifications and omissions, as hereinafter provided in the Deposit Agreement; and</w:t>
      </w:r>
    </w:p>
    <w:p>
      <w:pPr>
        <w:spacing w:after="0" w:line="116"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1.1 “</w:t>
      </w:r>
      <w:r>
        <w:rPr>
          <w:rFonts w:ascii="Arial" w:cs="Arial" w:eastAsia="Arial" w:hAnsi="Arial"/>
          <w:sz w:val="18"/>
          <w:szCs w:val="18"/>
          <w:b w:val="1"/>
          <w:bCs w:val="1"/>
          <w:u w:val="single" w:color="auto"/>
          <w:color w:val="auto"/>
        </w:rPr>
        <w:t>ADS Record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given to such term in Section 4.9.</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 (as hereinafter defined), or under any successor regulation thereto.</w:t>
      </w:r>
    </w:p>
    <w:p>
      <w:pPr>
        <w:spacing w:after="0" w:line="162" w:lineRule="exact"/>
        <w:rPr>
          <w:sz w:val="20"/>
          <w:szCs w:val="20"/>
          <w:color w:val="auto"/>
        </w:rPr>
      </w:pPr>
    </w:p>
    <w:p>
      <w:pPr>
        <w:jc w:val="both"/>
        <w:ind w:right="180" w:firstLine="440"/>
        <w:spacing w:after="0" w:line="281" w:lineRule="auto"/>
        <w:rPr>
          <w:sz w:val="20"/>
          <w:szCs w:val="20"/>
          <w:color w:val="auto"/>
        </w:rPr>
      </w:pPr>
      <w:r>
        <w:rPr>
          <w:rFonts w:ascii="Arial" w:cs="Arial" w:eastAsia="Arial" w:hAnsi="Arial"/>
          <w:sz w:val="17"/>
          <w:szCs w:val="17"/>
          <w:b w:val="1"/>
          <w:bCs w:val="1"/>
          <w:color w:val="auto"/>
        </w:rPr>
        <w:t>Section 1.3 “</w:t>
      </w:r>
      <w:r>
        <w:rPr>
          <w:rFonts w:ascii="Arial" w:cs="Arial" w:eastAsia="Arial" w:hAnsi="Arial"/>
          <w:sz w:val="17"/>
          <w:szCs w:val="17"/>
          <w:b w:val="1"/>
          <w:bCs w:val="1"/>
          <w:u w:val="single" w:color="auto"/>
          <w:color w:val="auto"/>
        </w:rPr>
        <w:t>American Depositary Receipt(s)</w:t>
      </w:r>
      <w:r>
        <w:rPr>
          <w:rFonts w:ascii="Arial" w:cs="Arial" w:eastAsia="Arial" w:hAnsi="Arial"/>
          <w:sz w:val="17"/>
          <w:szCs w:val="17"/>
          <w:b w:val="1"/>
          <w:bCs w:val="1"/>
          <w:color w:val="auto"/>
        </w:rPr>
        <w:t>”, “</w:t>
      </w: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Receipt(s)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certificate(s) issued by the Depositary to evidence</w:t>
      </w:r>
      <w:r>
        <w:rPr>
          <w:rFonts w:ascii="Arial" w:cs="Arial" w:eastAsia="Arial" w:hAnsi="Arial"/>
          <w:sz w:val="17"/>
          <w:szCs w:val="17"/>
          <w:b w:val="1"/>
          <w:bCs w:val="1"/>
          <w:color w:val="auto"/>
        </w:rPr>
        <w:t xml:space="preserve"> </w:t>
      </w:r>
      <w:r>
        <w:rPr>
          <w:rFonts w:ascii="Arial" w:cs="Arial" w:eastAsia="Arial" w:hAnsi="Arial"/>
          <w:sz w:val="17"/>
          <w:szCs w:val="17"/>
          <w:color w:val="auto"/>
        </w:rPr>
        <w:t>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57" w:name="page358"/>
    <w:bookmarkEnd w:id="357"/>
    <w:p>
      <w:pPr>
        <w:ind w:left="4"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 “</w:t>
      </w:r>
      <w:r>
        <w:rPr>
          <w:rFonts w:ascii="Arial" w:cs="Arial" w:eastAsia="Arial" w:hAnsi="Arial"/>
          <w:sz w:val="16"/>
          <w:szCs w:val="16"/>
          <w:b w:val="1"/>
          <w:bCs w:val="1"/>
          <w:u w:val="single" w:color="auto"/>
          <w:color w:val="auto"/>
        </w:rPr>
        <w:t>American Depositary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rights and interests in the Deposited Property (as hereinafter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ind w:left="4" w:right="80" w:hanging="4"/>
        <w:spacing w:after="0" w:line="285" w:lineRule="auto"/>
        <w:tabs>
          <w:tab w:leader="none" w:pos="24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68"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b w:val="1"/>
          <w:bCs w:val="1"/>
          <w:color w:val="auto"/>
        </w:rPr>
        <w:t>Section 1.5 “</w:t>
      </w:r>
      <w:r>
        <w:rPr>
          <w:rFonts w:ascii="Arial" w:cs="Arial" w:eastAsia="Arial" w:hAnsi="Arial"/>
          <w:sz w:val="18"/>
          <w:szCs w:val="18"/>
          <w:b w:val="1"/>
          <w:bCs w:val="1"/>
          <w:u w:val="single" w:color="auto"/>
          <w:color w:val="auto"/>
        </w:rPr>
        <w:t>Articles of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memorandum and articles of association of the Company, and any other constitutional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the Company, as amended or restated and in effect from time to time.</w:t>
      </w:r>
    </w:p>
    <w:p>
      <w:pPr>
        <w:spacing w:after="0" w:line="162" w:lineRule="exact"/>
        <w:rPr>
          <w:sz w:val="20"/>
          <w:szCs w:val="20"/>
          <w:color w:val="auto"/>
        </w:rPr>
      </w:pPr>
    </w:p>
    <w:p>
      <w:pPr>
        <w:ind w:left="4" w:right="40" w:firstLine="440"/>
        <w:spacing w:after="0" w:line="268" w:lineRule="auto"/>
        <w:rPr>
          <w:sz w:val="20"/>
          <w:szCs w:val="20"/>
          <w:color w:val="auto"/>
        </w:rPr>
      </w:pPr>
      <w:r>
        <w:rPr>
          <w:rFonts w:ascii="Arial" w:cs="Arial" w:eastAsia="Arial" w:hAnsi="Arial"/>
          <w:sz w:val="17"/>
          <w:szCs w:val="17"/>
          <w:b w:val="1"/>
          <w:bCs w:val="1"/>
          <w:color w:val="auto"/>
        </w:rPr>
        <w:t>Section 1.6 “</w:t>
      </w:r>
      <w:r>
        <w:rPr>
          <w:rFonts w:ascii="Arial" w:cs="Arial" w:eastAsia="Arial" w:hAnsi="Arial"/>
          <w:sz w:val="17"/>
          <w:szCs w:val="17"/>
          <w:b w:val="1"/>
          <w:bCs w:val="1"/>
          <w:u w:val="single" w:color="auto"/>
          <w:color w:val="auto"/>
        </w:rPr>
        <w:t>Beneficial Owner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as to any ADS, any person or entity having a beneficial interest deriving from the ownership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358" w:name="page359"/>
    <w:bookmarkEnd w:id="358"/>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 “</w:t>
      </w:r>
      <w:r>
        <w:rPr>
          <w:rFonts w:ascii="Arial" w:cs="Arial" w:eastAsia="Arial" w:hAnsi="Arial"/>
          <w:sz w:val="18"/>
          <w:szCs w:val="18"/>
          <w:b w:val="1"/>
          <w:bCs w:val="1"/>
          <w:u w:val="single" w:color="auto"/>
          <w:color w:val="auto"/>
        </w:rPr>
        <w:t>Certificated ADS(s)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Section 2.13.</w:t>
      </w:r>
    </w:p>
    <w:p>
      <w:pPr>
        <w:spacing w:after="0" w:line="225"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b w:val="1"/>
          <w:bCs w:val="1"/>
          <w:color w:val="auto"/>
        </w:rPr>
        <w:t>Section 1.8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 America,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successors.</w:t>
      </w:r>
    </w:p>
    <w:p>
      <w:pPr>
        <w:spacing w:after="0" w:line="162" w:lineRule="exact"/>
        <w:rPr>
          <w:sz w:val="20"/>
          <w:szCs w:val="20"/>
          <w:color w:val="auto"/>
        </w:rPr>
      </w:pPr>
    </w:p>
    <w:p>
      <w:pPr>
        <w:ind w:left="4" w:right="420" w:firstLine="440"/>
        <w:spacing w:after="0" w:line="282" w:lineRule="auto"/>
        <w:rPr>
          <w:sz w:val="20"/>
          <w:szCs w:val="20"/>
          <w:color w:val="auto"/>
        </w:rPr>
      </w:pPr>
      <w:r>
        <w:rPr>
          <w:rFonts w:ascii="Arial" w:cs="Arial" w:eastAsia="Arial" w:hAnsi="Arial"/>
          <w:sz w:val="18"/>
          <w:szCs w:val="18"/>
          <w:b w:val="1"/>
          <w:bCs w:val="1"/>
          <w:color w:val="auto"/>
        </w:rPr>
        <w:t>Section 1.9 “</w:t>
      </w:r>
      <w:r>
        <w:rPr>
          <w:rFonts w:ascii="Arial" w:cs="Arial" w:eastAsia="Arial" w:hAnsi="Arial"/>
          <w:sz w:val="18"/>
          <w:szCs w:val="18"/>
          <w:b w:val="1"/>
          <w:bCs w:val="1"/>
          <w:u w:val="single" w:color="auto"/>
          <w:color w:val="auto"/>
        </w:rPr>
        <w:t>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b w:val="1"/>
          <w:bCs w:val="1"/>
          <w:color w:val="auto"/>
        </w:rPr>
        <w:t>Section 1.10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AiHuiShou International Co. Ltd., an exempted company incorporated with limited liability under the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Cayman Islands, and its successors.</w:t>
      </w:r>
    </w:p>
    <w:p>
      <w:pPr>
        <w:spacing w:after="0" w:line="162"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b w:val="1"/>
          <w:bCs w:val="1"/>
          <w:color w:val="auto"/>
        </w:rPr>
        <w:t>Section 1.11 “</w:t>
      </w:r>
      <w:r>
        <w:rPr>
          <w:rFonts w:ascii="Arial" w:cs="Arial" w:eastAsia="Arial" w:hAnsi="Arial"/>
          <w:sz w:val="16"/>
          <w:szCs w:val="16"/>
          <w:b w:val="1"/>
          <w:bCs w:val="1"/>
          <w:u w:val="single" w:color="auto"/>
          <w:color w:val="auto"/>
        </w:rPr>
        <w:t>Custodian</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(i) as of the date hereof, Citibank, N.A. – Hong Kong, having its principal office at 9/F Citi Tower, One Bay</w:t>
      </w:r>
      <w:r>
        <w:rPr>
          <w:rFonts w:ascii="Arial" w:cs="Arial" w:eastAsia="Arial" w:hAnsi="Arial"/>
          <w:sz w:val="16"/>
          <w:szCs w:val="16"/>
          <w:b w:val="1"/>
          <w:bCs w:val="1"/>
          <w:color w:val="auto"/>
        </w:rPr>
        <w:t xml:space="preserve"> </w:t>
      </w:r>
      <w:r>
        <w:rPr>
          <w:rFonts w:ascii="Arial" w:cs="Arial" w:eastAsia="Arial" w:hAnsi="Arial"/>
          <w:sz w:val="16"/>
          <w:szCs w:val="16"/>
          <w:color w:val="auto"/>
        </w:rPr>
        <w:t>East, 83 Hoi Bun Road, Kwun Tong, Kowloon, Hong Kong, as the custodian of Deposited Property for the purposes of the Deposit Agreement,</w:t>
      </w:r>
    </w:p>
    <w:p>
      <w:pPr>
        <w:spacing w:after="0" w:line="1" w:lineRule="exact"/>
        <w:rPr>
          <w:sz w:val="20"/>
          <w:szCs w:val="20"/>
          <w:color w:val="auto"/>
        </w:rPr>
      </w:pPr>
    </w:p>
    <w:p>
      <w:pPr>
        <w:ind w:left="4" w:right="60" w:hanging="4"/>
        <w:spacing w:after="0" w:line="255" w:lineRule="auto"/>
        <w:tabs>
          <w:tab w:leader="none" w:pos="26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6"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8"/>
          <w:szCs w:val="18"/>
          <w:b w:val="1"/>
          <w:bCs w:val="1"/>
          <w:color w:val="auto"/>
        </w:rPr>
        <w:t>Section 1.12 “</w:t>
      </w:r>
      <w:r>
        <w:rPr>
          <w:rFonts w:ascii="Arial" w:cs="Arial" w:eastAsia="Arial" w:hAnsi="Arial"/>
          <w:sz w:val="18"/>
          <w:szCs w:val="18"/>
          <w:b w:val="1"/>
          <w:bCs w:val="1"/>
          <w:u w:val="single" w:color="auto"/>
          <w:color w:val="auto"/>
        </w:rPr>
        <w:t>Deliver</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(x)</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when used in respect of Shares and other Deposited Securities</w:t>
      </w:r>
      <w:r>
        <w:rPr>
          <w:rFonts w:ascii="Arial" w:cs="Arial" w:eastAsia="Arial" w:hAnsi="Arial"/>
          <w:sz w:val="18"/>
          <w:szCs w:val="18"/>
          <w:color w:val="auto"/>
        </w:rPr>
        <w:t>,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delivery of the certificate(s) representing such securities, or (ii) the book-entry transfer and recordation of such securities on the books of the Share Registrar (as hereinafter defined) or in the applicable book-entry settlement system, if available, and (y) </w:t>
      </w:r>
      <w:r>
        <w:rPr>
          <w:rFonts w:ascii="Arial" w:cs="Arial" w:eastAsia="Arial" w:hAnsi="Arial"/>
          <w:sz w:val="18"/>
          <w:szCs w:val="18"/>
          <w:i w:val="1"/>
          <w:iCs w:val="1"/>
          <w:color w:val="auto"/>
        </w:rPr>
        <w:t>when used in respect of ADSs</w:t>
      </w:r>
      <w:r>
        <w:rPr>
          <w:rFonts w:ascii="Arial" w:cs="Arial" w:eastAsia="Arial" w:hAnsi="Arial"/>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83"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b w:val="1"/>
          <w:bCs w:val="1"/>
          <w:color w:val="auto"/>
        </w:rPr>
        <w:t>Section 1.13 “</w:t>
      </w:r>
      <w:r>
        <w:rPr>
          <w:rFonts w:ascii="Arial" w:cs="Arial" w:eastAsia="Arial" w:hAnsi="Arial"/>
          <w:sz w:val="18"/>
          <w:szCs w:val="18"/>
          <w:b w:val="1"/>
          <w:bCs w:val="1"/>
          <w:u w:val="single" w:color="auto"/>
          <w:color w:val="auto"/>
        </w:rPr>
        <w:t>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left="4" w:right="640" w:firstLine="440"/>
        <w:spacing w:after="0" w:line="282" w:lineRule="auto"/>
        <w:rPr>
          <w:sz w:val="20"/>
          <w:szCs w:val="20"/>
          <w:color w:val="auto"/>
        </w:rPr>
      </w:pPr>
      <w:r>
        <w:rPr>
          <w:rFonts w:ascii="Arial" w:cs="Arial" w:eastAsia="Arial" w:hAnsi="Arial"/>
          <w:sz w:val="18"/>
          <w:szCs w:val="18"/>
          <w:b w:val="1"/>
          <w:bCs w:val="1"/>
          <w:color w:val="auto"/>
        </w:rPr>
        <w:t>Section 1.14 “</w:t>
      </w:r>
      <w:r>
        <w:rPr>
          <w:rFonts w:ascii="Arial" w:cs="Arial" w:eastAsia="Arial" w:hAnsi="Arial"/>
          <w:sz w:val="18"/>
          <w:szCs w:val="18"/>
          <w:b w:val="1"/>
          <w:bCs w:val="1"/>
          <w:u w:val="single" w:color="auto"/>
          <w:color w:val="auto"/>
        </w:rPr>
        <w:t>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Deposit Agreement, and any successor depositary hereunder.</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59" w:name="page360"/>
    <w:bookmarkEnd w:id="359"/>
    <w:p>
      <w:pPr>
        <w:ind w:right="4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1.15 “</w:t>
      </w:r>
      <w:r>
        <w:rPr>
          <w:rFonts w:ascii="Arial" w:cs="Arial" w:eastAsia="Arial" w:hAnsi="Arial"/>
          <w:sz w:val="16"/>
          <w:szCs w:val="16"/>
          <w:b w:val="1"/>
          <w:bCs w:val="1"/>
          <w:u w:val="single" w:color="auto"/>
          <w:color w:val="auto"/>
        </w:rPr>
        <w:t>Deposited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Deposited Securities and any cash and other property held on deposit by the Depositary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6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Section 1.16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ADSs under the Deposit Agreement and constituting Deposited Property.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1.17 “</w:t>
      </w:r>
      <w:r>
        <w:rPr>
          <w:rFonts w:ascii="Arial" w:cs="Arial" w:eastAsia="Arial" w:hAnsi="Arial"/>
          <w:sz w:val="18"/>
          <w:szCs w:val="18"/>
          <w:b w:val="1"/>
          <w:bCs w:val="1"/>
          <w:u w:val="single" w:color="auto"/>
          <w:color w:val="auto"/>
        </w:rPr>
        <w:t>Dollars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refer to the lawful currency of the United States.</w:t>
      </w:r>
    </w:p>
    <w:p>
      <w:pPr>
        <w:spacing w:after="0" w:line="225"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Section 1.18 “</w:t>
      </w:r>
      <w:r>
        <w:rPr>
          <w:rFonts w:ascii="Arial" w:cs="Arial" w:eastAsia="Arial" w:hAnsi="Arial"/>
          <w:sz w:val="18"/>
          <w:szCs w:val="18"/>
          <w:b w:val="1"/>
          <w:bCs w:val="1"/>
          <w:u w:val="single" w:color="auto"/>
          <w:color w:val="auto"/>
        </w:rPr>
        <w:t>DTC</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Section 1.19 “</w:t>
      </w:r>
      <w:r>
        <w:rPr>
          <w:rFonts w:ascii="Arial" w:cs="Arial" w:eastAsia="Arial" w:hAnsi="Arial"/>
          <w:sz w:val="18"/>
          <w:szCs w:val="18"/>
          <w:b w:val="1"/>
          <w:bCs w:val="1"/>
          <w:u w:val="single" w:color="auto"/>
          <w:color w:val="auto"/>
        </w:rPr>
        <w:t>DTC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financial institution (or any nominee of such institution) having one or more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1.20 “</w:t>
      </w:r>
      <w:r>
        <w:rPr>
          <w:rFonts w:ascii="Arial" w:cs="Arial" w:eastAsia="Arial" w:hAnsi="Arial"/>
          <w:sz w:val="18"/>
          <w:szCs w:val="18"/>
          <w:b w:val="1"/>
          <w:bCs w:val="1"/>
          <w:u w:val="single" w:color="auto"/>
          <w:color w:val="auto"/>
        </w:rPr>
        <w:t>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United States Securities Exchange Act of 1934,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1.21 “</w:t>
      </w:r>
      <w:r>
        <w:rPr>
          <w:rFonts w:ascii="Arial" w:cs="Arial" w:eastAsia="Arial" w:hAnsi="Arial"/>
          <w:sz w:val="18"/>
          <w:szCs w:val="18"/>
          <w:b w:val="1"/>
          <w:bCs w:val="1"/>
          <w:u w:val="single" w:color="auto"/>
          <w:color w:val="auto"/>
        </w:rPr>
        <w:t>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any currency other than Dollars.</w:t>
      </w:r>
    </w:p>
    <w:p>
      <w:pPr>
        <w:spacing w:after="0" w:line="225"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Section 1.22 “</w:t>
      </w:r>
      <w:r>
        <w:rPr>
          <w:rFonts w:ascii="Arial" w:cs="Arial" w:eastAsia="Arial" w:hAnsi="Arial"/>
          <w:sz w:val="18"/>
          <w:szCs w:val="18"/>
          <w:b w:val="1"/>
          <w:bCs w:val="1"/>
          <w:u w:val="single" w:color="auto"/>
          <w:color w:val="auto"/>
        </w:rPr>
        <w:t>Full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Full Entitlement ADS(s)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2.12.</w:t>
      </w:r>
    </w:p>
    <w:p>
      <w:pPr>
        <w:spacing w:after="0" w:line="162" w:lineRule="exact"/>
        <w:rPr>
          <w:sz w:val="20"/>
          <w:szCs w:val="20"/>
          <w:color w:val="auto"/>
        </w:rPr>
      </w:pPr>
    </w:p>
    <w:p>
      <w:pPr>
        <w:ind w:right="100" w:firstLine="440"/>
        <w:spacing w:after="0" w:line="298" w:lineRule="auto"/>
        <w:rPr>
          <w:sz w:val="20"/>
          <w:szCs w:val="20"/>
          <w:color w:val="auto"/>
        </w:rPr>
      </w:pPr>
      <w:r>
        <w:rPr>
          <w:rFonts w:ascii="Arial" w:cs="Arial" w:eastAsia="Arial" w:hAnsi="Arial"/>
          <w:sz w:val="16"/>
          <w:szCs w:val="16"/>
          <w:b w:val="1"/>
          <w:bCs w:val="1"/>
          <w:color w:val="auto"/>
        </w:rPr>
        <w:t>Section 1.23 “</w:t>
      </w:r>
      <w:r>
        <w:rPr>
          <w:rFonts w:ascii="Arial" w:cs="Arial" w:eastAsia="Arial" w:hAnsi="Arial"/>
          <w:sz w:val="16"/>
          <w:szCs w:val="16"/>
          <w:b w:val="1"/>
          <w:bCs w:val="1"/>
          <w:u w:val="single" w:color="auto"/>
          <w:color w:val="auto"/>
        </w:rPr>
        <w:t>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person(s) in whose name the ADSs are registered on the books of the Depositary (or the Registrar, if</w:t>
      </w:r>
      <w:r>
        <w:rPr>
          <w:rFonts w:ascii="Arial" w:cs="Arial" w:eastAsia="Arial" w:hAnsi="Arial"/>
          <w:sz w:val="16"/>
          <w:szCs w:val="16"/>
          <w:b w:val="1"/>
          <w:bCs w:val="1"/>
          <w:color w:val="auto"/>
        </w:rPr>
        <w:t xml:space="preserve"> </w:t>
      </w:r>
      <w:r>
        <w:rPr>
          <w:rFonts w:ascii="Arial" w:cs="Arial" w:eastAsia="Arial" w:hAnsi="Arial"/>
          <w:sz w:val="16"/>
          <w:szCs w:val="16"/>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60" w:name="page361"/>
    <w:bookmarkEnd w:id="360"/>
    <w:p>
      <w:pPr>
        <w:ind w:right="4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1.24 “</w:t>
      </w:r>
      <w:r>
        <w:rPr>
          <w:rFonts w:ascii="Arial" w:cs="Arial" w:eastAsia="Arial" w:hAnsi="Arial"/>
          <w:sz w:val="18"/>
          <w:szCs w:val="18"/>
          <w:b w:val="1"/>
          <w:bCs w:val="1"/>
          <w:u w:val="single" w:color="auto"/>
          <w:color w:val="auto"/>
        </w:rPr>
        <w:t>Partial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Partial Entitlement ADS(s)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Section 1.25 “</w:t>
      </w:r>
      <w:r>
        <w:rPr>
          <w:rFonts w:ascii="Arial" w:cs="Arial" w:eastAsia="Arial" w:hAnsi="Arial"/>
          <w:sz w:val="18"/>
          <w:szCs w:val="18"/>
          <w:b w:val="1"/>
          <w:bCs w:val="1"/>
          <w:u w:val="single" w:color="auto"/>
          <w:color w:val="auto"/>
        </w:rPr>
        <w:t>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Section 1.26 “</w:t>
      </w:r>
      <w:r>
        <w:rPr>
          <w:rFonts w:ascii="Arial" w:cs="Arial" w:eastAsia="Arial" w:hAnsi="Arial"/>
          <w:sz w:val="17"/>
          <w:szCs w:val="17"/>
          <w:b w:val="1"/>
          <w:bCs w:val="1"/>
          <w:u w:val="single" w:color="auto"/>
          <w:color w:val="auto"/>
        </w:rPr>
        <w:t>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Section 1.27 “</w:t>
      </w:r>
      <w:r>
        <w:rPr>
          <w:rFonts w:ascii="Arial" w:cs="Arial" w:eastAsia="Arial" w:hAnsi="Arial"/>
          <w:sz w:val="17"/>
          <w:szCs w:val="17"/>
          <w:b w:val="1"/>
          <w:bCs w:val="1"/>
          <w:u w:val="single" w:color="auto"/>
          <w:color w:val="auto"/>
        </w:rPr>
        <w:t>Restricted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Shares, Deposited Securities or ADSs which (i) have been acquired directly or indirectly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the Cayman Islands, or under a shareholder agreement or the Articles of Association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Section 1.28 “</w:t>
      </w:r>
      <w:r>
        <w:rPr>
          <w:rFonts w:ascii="Arial" w:cs="Arial" w:eastAsia="Arial" w:hAnsi="Arial"/>
          <w:sz w:val="16"/>
          <w:szCs w:val="16"/>
          <w:b w:val="1"/>
          <w:bCs w:val="1"/>
          <w:u w:val="single" w:color="auto"/>
          <w:color w:val="auto"/>
        </w:rPr>
        <w:t>Restricted ADR(s)</w:t>
      </w: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respective meanings set forth in Section 2.14.</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1.29 “</w:t>
      </w:r>
      <w:r>
        <w:rPr>
          <w:rFonts w:ascii="Arial" w:cs="Arial" w:eastAsia="Arial" w:hAnsi="Arial"/>
          <w:sz w:val="18"/>
          <w:szCs w:val="18"/>
          <w:b w:val="1"/>
          <w:bCs w:val="1"/>
          <w:u w:val="single" w:color="auto"/>
          <w:color w:val="auto"/>
        </w:rPr>
        <w:t>Securities Act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United States Securities Act of 1933, as amended from time to time.</w:t>
      </w:r>
    </w:p>
    <w:p>
      <w:pPr>
        <w:spacing w:after="0" w:line="225" w:lineRule="exact"/>
        <w:rPr>
          <w:sz w:val="20"/>
          <w:szCs w:val="20"/>
          <w:color w:val="auto"/>
        </w:rPr>
      </w:pPr>
    </w:p>
    <w:p>
      <w:pPr>
        <w:ind w:right="320" w:firstLine="440"/>
        <w:spacing w:after="0" w:line="347" w:lineRule="auto"/>
        <w:rPr>
          <w:sz w:val="20"/>
          <w:szCs w:val="20"/>
          <w:color w:val="auto"/>
        </w:rPr>
      </w:pPr>
      <w:r>
        <w:rPr>
          <w:rFonts w:ascii="Arial" w:cs="Arial" w:eastAsia="Arial" w:hAnsi="Arial"/>
          <w:sz w:val="16"/>
          <w:szCs w:val="16"/>
          <w:b w:val="1"/>
          <w:bCs w:val="1"/>
          <w:color w:val="auto"/>
        </w:rPr>
        <w:t>Section 1.30 “</w:t>
      </w:r>
      <w:r>
        <w:rPr>
          <w:rFonts w:ascii="Arial" w:cs="Arial" w:eastAsia="Arial" w:hAnsi="Arial"/>
          <w:sz w:val="16"/>
          <w:szCs w:val="16"/>
          <w:b w:val="1"/>
          <w:bCs w:val="1"/>
          <w:u w:val="single" w:color="auto"/>
          <w:color w:val="auto"/>
        </w:rPr>
        <w:t>Share Registrar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Maples Fund Services (Cayman) Limited or any other institution organized under the laws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Cayman Islands appointed by the Company from time to time to carry out the duties of registrar for the Shares, and any successor thereto.</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361" w:name="page362"/>
    <w:bookmarkEnd w:id="361"/>
    <w:p>
      <w:pPr>
        <w:ind w:right="4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1.31 “</w:t>
      </w:r>
      <w:r>
        <w:rPr>
          <w:rFonts w:ascii="Arial" w:cs="Arial" w:eastAsia="Arial" w:hAnsi="Arial"/>
          <w:sz w:val="16"/>
          <w:szCs w:val="16"/>
          <w:b w:val="1"/>
          <w:bCs w:val="1"/>
          <w:u w:val="single" w:color="auto"/>
          <w:color w:val="auto"/>
        </w:rPr>
        <w:t>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Company’s Class A ordinary shares, par value $0.001 per share, validly issued and outstanding and fully</w:t>
      </w:r>
      <w:r>
        <w:rPr>
          <w:rFonts w:ascii="Arial" w:cs="Arial" w:eastAsia="Arial" w:hAnsi="Arial"/>
          <w:sz w:val="16"/>
          <w:szCs w:val="16"/>
          <w:b w:val="1"/>
          <w:bCs w:val="1"/>
          <w:color w:val="auto"/>
        </w:rPr>
        <w:t xml:space="preserve"> </w:t>
      </w:r>
      <w:r>
        <w:rPr>
          <w:rFonts w:ascii="Arial" w:cs="Arial" w:eastAsia="Arial" w:hAnsi="Arial"/>
          <w:sz w:val="16"/>
          <w:szCs w:val="16"/>
          <w:color w:val="auto"/>
        </w:rPr>
        <w:t>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1.32 “</w:t>
      </w:r>
      <w:r>
        <w:rPr>
          <w:rFonts w:ascii="Arial" w:cs="Arial" w:eastAsia="Arial" w:hAnsi="Arial"/>
          <w:sz w:val="18"/>
          <w:szCs w:val="18"/>
          <w:b w:val="1"/>
          <w:bCs w:val="1"/>
          <w:u w:val="single" w:color="auto"/>
          <w:color w:val="auto"/>
        </w:rPr>
        <w:t>Uncertificated ADS(s)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set forth in Section 2.13.</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Section 1.33 “</w:t>
      </w:r>
      <w:r>
        <w:rPr>
          <w:rFonts w:ascii="Arial" w:cs="Arial" w:eastAsia="Arial" w:hAnsi="Arial"/>
          <w:sz w:val="18"/>
          <w:szCs w:val="18"/>
          <w:b w:val="1"/>
          <w:bCs w:val="1"/>
          <w:u w:val="single" w:color="auto"/>
          <w:color w:val="auto"/>
        </w:rPr>
        <w:t>United States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Appointment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appoints the Depositary as depositary for the Deposited Property and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Form and Transferability of ADSs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7" w:lineRule="auto"/>
        <w:tabs>
          <w:tab w:leader="none" w:pos="695"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Certificated ADSs shall be evidenced by definitive ADRs which shall be engraved, printed, lithographed or produced in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362" w:name="page363"/>
    <w:bookmarkEnd w:id="362"/>
    <w:p>
      <w:pPr>
        <w:ind w:firstLine="436"/>
        <w:spacing w:after="0" w:line="272" w:lineRule="auto"/>
        <w:tabs>
          <w:tab w:leader="none" w:pos="705"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Legends</w:t>
      </w:r>
      <w:r>
        <w:rPr>
          <w:rFonts w:ascii="Arial" w:cs="Arial" w:eastAsia="Arial" w:hAnsi="Arial"/>
          <w:sz w:val="17"/>
          <w:szCs w:val="17"/>
          <w:b w:val="1"/>
          <w:bCs w:val="1"/>
          <w:color w:val="auto"/>
        </w:rPr>
        <w:t xml:space="preserve">. </w:t>
      </w:r>
      <w:r>
        <w:rPr>
          <w:rFonts w:ascii="Arial" w:cs="Arial" w:eastAsia="Arial" w:hAnsi="Arial"/>
          <w:sz w:val="17"/>
          <w:szCs w:val="17"/>
          <w:color w:val="auto"/>
        </w:rPr>
        <w:t>The ADRs may be endorsed with, or have incorporated in the text thereof, such legends or recitals not inconsistent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Deposit Agreement as may be (i) necessary to enable the Depositary and the Company to perform their respective 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63" w:lineRule="exact"/>
        <w:rPr>
          <w:rFonts w:ascii="Arial" w:cs="Arial" w:eastAsia="Arial" w:hAnsi="Arial"/>
          <w:sz w:val="17"/>
          <w:szCs w:val="17"/>
          <w:b w:val="1"/>
          <w:bCs w:val="1"/>
          <w:color w:val="auto"/>
        </w:rPr>
      </w:pPr>
    </w:p>
    <w:p>
      <w:pPr>
        <w:ind w:right="20" w:firstLine="436"/>
        <w:spacing w:after="0" w:line="272" w:lineRule="auto"/>
        <w:tabs>
          <w:tab w:leader="none" w:pos="685" w:val="left"/>
        </w:tabs>
        <w:numPr>
          <w:ilvl w:val="0"/>
          <w:numId w:val="2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herein and in the ADR, title to an ADR (and to each Certificated ADS evidenced thereby)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63" w:name="page364"/>
    <w:bookmarkEnd w:id="363"/>
    <w:p>
      <w:pPr>
        <w:ind w:left="4" w:right="40" w:firstLine="436"/>
        <w:spacing w:after="0" w:line="285" w:lineRule="auto"/>
        <w:tabs>
          <w:tab w:leader="none" w:pos="709"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Book-Entry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arrangements for the acceptance of the ADSs into DTC. All ADSs held through DTC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74" w:lineRule="exact"/>
        <w:rPr>
          <w:sz w:val="20"/>
          <w:szCs w:val="20"/>
          <w:color w:val="auto"/>
        </w:rPr>
      </w:pPr>
    </w:p>
    <w:p>
      <w:pPr>
        <w:ind w:left="4" w:right="140" w:firstLine="440"/>
        <w:spacing w:after="0" w:line="287"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 rights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w:t>
      </w:r>
    </w:p>
    <w:p>
      <w:pPr>
        <w:spacing w:after="0" w:line="2" w:lineRule="exact"/>
        <w:rPr>
          <w:sz w:val="20"/>
          <w:szCs w:val="20"/>
          <w:color w:val="auto"/>
        </w:rPr>
      </w:pPr>
    </w:p>
    <w:p>
      <w:pPr>
        <w:ind w:left="4" w:hanging="4"/>
        <w:spacing w:after="0" w:line="284" w:lineRule="auto"/>
        <w:tabs>
          <w:tab w:leader="none" w:pos="299"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i w:val="1"/>
          <w:iCs w:val="1"/>
          <w:color w:val="auto"/>
        </w:rPr>
        <w:t>in the case of Shares represented by certificates issued in registered form</w:t>
      </w:r>
      <w:r>
        <w:rPr>
          <w:rFonts w:ascii="Arial" w:cs="Arial" w:eastAsia="Arial" w:hAnsi="Arial"/>
          <w:sz w:val="16"/>
          <w:szCs w:val="16"/>
          <w:color w:val="auto"/>
        </w:rPr>
        <w:t xml:space="preserve">, appropriate instruments of transfer or endorsement, in a form reasonably satisfactory to the Custodian, (ii) </w:t>
      </w:r>
      <w:r>
        <w:rPr>
          <w:rFonts w:ascii="Arial" w:cs="Arial" w:eastAsia="Arial" w:hAnsi="Arial"/>
          <w:sz w:val="16"/>
          <w:szCs w:val="16"/>
          <w:i w:val="1"/>
          <w:iCs w:val="1"/>
          <w:color w:val="auto"/>
        </w:rPr>
        <w:t>in the case of Shares represented by certificates in bearer form,</w:t>
      </w:r>
      <w:r>
        <w:rPr>
          <w:rFonts w:ascii="Arial" w:cs="Arial" w:eastAsia="Arial" w:hAnsi="Arial"/>
          <w:sz w:val="16"/>
          <w:szCs w:val="16"/>
          <w:color w:val="auto"/>
        </w:rPr>
        <w:t xml:space="preserve"> the requisite coupons and talons pertaining thereto, and (iii) </w:t>
      </w:r>
      <w:r>
        <w:rPr>
          <w:rFonts w:ascii="Arial" w:cs="Arial" w:eastAsia="Arial" w:hAnsi="Arial"/>
          <w:sz w:val="16"/>
          <w:szCs w:val="16"/>
          <w:i w:val="1"/>
          <w:iCs w:val="1"/>
          <w:color w:val="auto"/>
        </w:rPr>
        <w:t>in the case of Shares delivered by book-entry transfer and recordation</w:t>
      </w:r>
      <w:r>
        <w:rPr>
          <w:rFonts w:ascii="Arial" w:cs="Arial" w:eastAsia="Arial" w:hAnsi="Arial"/>
          <w:sz w:val="16"/>
          <w:szCs w:val="16"/>
          <w:color w:val="auto"/>
        </w:rPr>
        <w:t>, confirmation of such book-entry transfer and recordation in the books of the Share Registrar or of the applicable book-entry settlement entity, as applicable, to the Custodian or that irrevocable instructions have been given to cause such Shares to be so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364" w:name="page365"/>
    <w:bookmarkEnd w:id="364"/>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applicable governmental body in the Cayman Islands,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85" w:lineRule="exact"/>
        <w:rPr>
          <w:sz w:val="20"/>
          <w:szCs w:val="20"/>
          <w:color w:val="auto"/>
        </w:rPr>
      </w:pPr>
    </w:p>
    <w:p>
      <w:pPr>
        <w:ind w:right="180" w:firstLine="440"/>
        <w:spacing w:after="0" w:line="271" w:lineRule="auto"/>
        <w:rPr>
          <w:sz w:val="20"/>
          <w:szCs w:val="20"/>
          <w:color w:val="auto"/>
        </w:rPr>
      </w:pPr>
      <w:r>
        <w:rPr>
          <w:rFonts w:ascii="Arial" w:cs="Arial" w:eastAsia="Arial" w:hAnsi="Arial"/>
          <w:sz w:val="17"/>
          <w:szCs w:val="17"/>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74"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 registered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65" w:name="page366"/>
    <w:bookmarkEnd w:id="365"/>
    <w:p>
      <w:pPr>
        <w:ind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2.5 </w:t>
      </w:r>
      <w:r>
        <w:rPr>
          <w:rFonts w:ascii="Arial" w:cs="Arial" w:eastAsia="Arial" w:hAnsi="Arial"/>
          <w:sz w:val="16"/>
          <w:szCs w:val="16"/>
          <w:b w:val="1"/>
          <w:bCs w:val="1"/>
          <w:u w:val="single" w:color="auto"/>
          <w:color w:val="auto"/>
        </w:rPr>
        <w:t>Issuance of ADSs</w:t>
      </w:r>
      <w:r>
        <w:rPr>
          <w:rFonts w:ascii="Arial" w:cs="Arial" w:eastAsia="Arial" w:hAnsi="Arial"/>
          <w:sz w:val="16"/>
          <w:szCs w:val="16"/>
          <w:color w:val="auto"/>
        </w:rPr>
        <w:t>. The Depositary has made arrangements with the Custodian for the Custodian to confirm to the Depositary upon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the applicable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charges of the Depositary for accepting a deposit of Shares and issuing ADSs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all taxes and governmental charges and fees payable in connection with such deposit and the transfer of the Shares and the issuance of the ADS(s). The Depositary shall only issue ADSs in whole numbers and deliver, if applicable, ADR(s) evidencing whole numbers of ADSs.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Transfer, Combination and Split-up of ADRs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84" w:lineRule="auto"/>
        <w:tabs>
          <w:tab w:leader="none" w:pos="695"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ADRs (and of the ADSs represented thereby) on the books maintained for such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w:t>
      </w:r>
    </w:p>
    <w:p>
      <w:pPr>
        <w:spacing w:after="0" w:line="4" w:lineRule="exact"/>
        <w:rPr>
          <w:rFonts w:ascii="Arial" w:cs="Arial" w:eastAsia="Arial" w:hAnsi="Arial"/>
          <w:sz w:val="16"/>
          <w:szCs w:val="16"/>
          <w:b w:val="1"/>
          <w:bCs w:val="1"/>
          <w:color w:val="auto"/>
        </w:rPr>
      </w:pPr>
    </w:p>
    <w:p>
      <w:pPr>
        <w:ind w:right="34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 xml:space="preserve">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xml:space="preserve"> to the terms and conditions of the applicable ADRs, of the Deposit Agreement and of applicable law, in each case as in effect at the time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366" w:name="page367"/>
    <w:bookmarkEnd w:id="366"/>
    <w:p>
      <w:pPr>
        <w:ind w:right="40" w:firstLine="436"/>
        <w:spacing w:after="0" w:line="291" w:lineRule="auto"/>
        <w:tabs>
          <w:tab w:leader="none" w:pos="705"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&amp;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split-up or combination of ADRs (and of the ADSs represented thereby)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applicable ADRs, of the Deposit Agreement and of applicable law, in each case as in effect at the time thereof.</w:t>
      </w:r>
    </w:p>
    <w:p>
      <w:pPr>
        <w:spacing w:after="0" w:line="15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Surrender of ADSs and Withdrawal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ADSs shall be entitled to Delivery (at the Custodian’s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have been paid, </w:t>
      </w:r>
      <w:r>
        <w:rPr>
          <w:rFonts w:ascii="Arial" w:cs="Arial" w:eastAsia="Arial" w:hAnsi="Arial"/>
          <w:sz w:val="17"/>
          <w:szCs w:val="17"/>
          <w:i w:val="1"/>
          <w:iCs w:val="1"/>
          <w:color w:val="auto"/>
        </w:rPr>
        <w:t>subject, however, in each</w:t>
      </w:r>
      <w:r>
        <w:rPr>
          <w:rFonts w:ascii="Arial" w:cs="Arial" w:eastAsia="Arial" w:hAnsi="Arial"/>
          <w:sz w:val="17"/>
          <w:szCs w:val="17"/>
          <w:color w:val="auto"/>
        </w:rPr>
        <w:t xml:space="preserve"> </w:t>
      </w:r>
      <w:r>
        <w:rPr>
          <w:rFonts w:ascii="Arial" w:cs="Arial" w:eastAsia="Arial" w:hAnsi="Arial"/>
          <w:sz w:val="17"/>
          <w:szCs w:val="17"/>
          <w:i w:val="1"/>
          <w:iCs w:val="1"/>
          <w:color w:val="auto"/>
        </w:rPr>
        <w:t>case</w:t>
      </w:r>
      <w:r>
        <w:rPr>
          <w:rFonts w:ascii="Arial" w:cs="Arial" w:eastAsia="Arial" w:hAnsi="Arial"/>
          <w:sz w:val="17"/>
          <w:szCs w:val="17"/>
          <w:color w:val="auto"/>
        </w:rPr>
        <w:t>, to the terms and conditions of the ADRs evidencing the surrendered ADSs, of the Deposit Agreement, of the Articles of Association, and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laws and the rules of the applicable book-entry settlement entity, and to any provisions of or governing the Deposited Securities, in each case as in effect at the time thereof.</w:t>
      </w:r>
    </w:p>
    <w:p>
      <w:pPr>
        <w:spacing w:after="0" w:line="183"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Deposit Agreement, of the ADRs evidencing the ADSs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367" w:name="page368"/>
    <w:bookmarkEnd w:id="367"/>
    <w:p>
      <w:pPr>
        <w:ind w:left="4" w:right="10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92"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Limitations on Execution and Delivery, Transfer, etc. of ADSs; Suspension of Delivery, Transfer, etc.</w:t>
      </w:r>
    </w:p>
    <w:p>
      <w:pPr>
        <w:spacing w:after="0" w:line="117" w:lineRule="exact"/>
        <w:rPr>
          <w:sz w:val="20"/>
          <w:szCs w:val="20"/>
          <w:color w:val="auto"/>
        </w:rPr>
      </w:pPr>
    </w:p>
    <w:p>
      <w:pPr>
        <w:ind w:left="4" w:firstLine="436"/>
        <w:spacing w:after="0" w:line="285" w:lineRule="auto"/>
        <w:tabs>
          <w:tab w:leader="none" w:pos="699" w:val="left"/>
        </w:tabs>
        <w:numPr>
          <w:ilvl w:val="1"/>
          <w:numId w:val="2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 split-up,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reasonably satisfactory to it as to the identity and genuineness of any signature or any other matter contemplated by Section 3.1, and</w:t>
      </w:r>
    </w:p>
    <w:p>
      <w:pPr>
        <w:spacing w:after="0" w:line="3" w:lineRule="exact"/>
        <w:rPr>
          <w:rFonts w:ascii="Arial" w:cs="Arial" w:eastAsia="Arial" w:hAnsi="Arial"/>
          <w:sz w:val="16"/>
          <w:szCs w:val="16"/>
          <w:b w:val="1"/>
          <w:bCs w:val="1"/>
          <w:color w:val="auto"/>
        </w:rPr>
      </w:pPr>
    </w:p>
    <w:p>
      <w:pPr>
        <w:jc w:val="both"/>
        <w:ind w:left="4" w:right="640" w:hanging="4"/>
        <w:spacing w:after="0" w:line="255" w:lineRule="auto"/>
        <w:tabs>
          <w:tab w:leader="none" w:pos="31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368" w:name="page369"/>
    <w:bookmarkEnd w:id="368"/>
    <w:p>
      <w:pPr>
        <w:ind w:right="20" w:firstLine="436"/>
        <w:spacing w:after="0" w:line="272" w:lineRule="auto"/>
        <w:tabs>
          <w:tab w:leader="none" w:pos="705"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issuance of ADSs against deposits of Shares generally or against deposits of particular Shares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(whereupon the Depositary shall use reasonable efforts to notify the Company in writing)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63" w:lineRule="exact"/>
        <w:rPr>
          <w:rFonts w:ascii="Arial" w:cs="Arial" w:eastAsia="Arial" w:hAnsi="Arial"/>
          <w:sz w:val="17"/>
          <w:szCs w:val="17"/>
          <w:b w:val="1"/>
          <w:bCs w:val="1"/>
          <w:color w:val="auto"/>
        </w:rPr>
      </w:pPr>
    </w:p>
    <w:p>
      <w:pPr>
        <w:ind w:firstLine="436"/>
        <w:spacing w:after="0" w:line="274" w:lineRule="auto"/>
        <w:tabs>
          <w:tab w:leader="none" w:pos="685"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any ADR(s) to the contrary, Holders are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3"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Lost ADRs, etc</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ADR shall be mutilated, destroyed, lost, or stolen, the Depositary shall execute and deliver a new ADR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like tenor at the expense of the Holder (a) </w:t>
      </w:r>
      <w:r>
        <w:rPr>
          <w:rFonts w:ascii="Arial" w:cs="Arial" w:eastAsia="Arial" w:hAnsi="Arial"/>
          <w:sz w:val="18"/>
          <w:szCs w:val="18"/>
          <w:i w:val="1"/>
          <w:iCs w:val="1"/>
          <w:color w:val="auto"/>
        </w:rPr>
        <w:t>in the case of a mutilated ADR,</w:t>
      </w:r>
      <w:r>
        <w:rPr>
          <w:rFonts w:ascii="Arial" w:cs="Arial" w:eastAsia="Arial" w:hAnsi="Arial"/>
          <w:sz w:val="18"/>
          <w:szCs w:val="18"/>
          <w:color w:val="auto"/>
        </w:rPr>
        <w:t xml:space="preserve"> in exchange of and substitution for such mutilated ADR upon cancellation thereof, or (b) </w:t>
      </w:r>
      <w:r>
        <w:rPr>
          <w:rFonts w:ascii="Arial" w:cs="Arial" w:eastAsia="Arial" w:hAnsi="Arial"/>
          <w:sz w:val="18"/>
          <w:szCs w:val="18"/>
          <w:i w:val="1"/>
          <w:iCs w:val="1"/>
          <w:color w:val="auto"/>
        </w:rPr>
        <w:t>in the case of a destroyed, lost or stolen ADR,</w:t>
      </w:r>
      <w:r>
        <w:rPr>
          <w:rFonts w:ascii="Arial" w:cs="Arial" w:eastAsia="Arial" w:hAnsi="Arial"/>
          <w:sz w:val="18"/>
          <w:szCs w:val="18"/>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reasonably satisfactory to the Depositary of such destruction, loss or theft of such ADR, the authenticity thereof and the Holder’s ownership thereof.</w:t>
      </w:r>
    </w:p>
    <w:p>
      <w:pPr>
        <w:spacing w:after="0" w:line="192"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Cancellation and Destruction of Surrendered ADRs; Maintenance of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All ADRs surrendered to the Depositary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canceled by the Depositary. Canceled ADRs shall not be entitled to any benefits under the Deposit Agreement or be valid or enforceable against the Depositary or the Company for any purpose. The Depositary is authorized to destroy ADRs so canceled, provided the Depositary maintains a record of all destroyed ADRs. Any ADSs held in book-entry form (</w:t>
      </w:r>
      <w:r>
        <w:rPr>
          <w:rFonts w:ascii="Arial" w:cs="Arial" w:eastAsia="Arial" w:hAnsi="Arial"/>
          <w:sz w:val="18"/>
          <w:szCs w:val="18"/>
          <w:i w:val="1"/>
          <w:iCs w:val="1"/>
          <w:color w:val="auto"/>
        </w:rPr>
        <w:t>e.g.</w:t>
      </w:r>
      <w:r>
        <w:rPr>
          <w:rFonts w:ascii="Arial" w:cs="Arial" w:eastAsia="Arial" w:hAnsi="Arial"/>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369" w:name="page370"/>
    <w:bookmarkEnd w:id="369"/>
    <w:p>
      <w:pPr>
        <w:ind w:right="4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Depositary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8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u w:val="single" w:color="auto"/>
          <w:color w:val="auto"/>
        </w:rPr>
        <w:t>Partial Entitlement ADSs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are deposited which (i) entitle the holders thereof to receive a per-share</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 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70" w:name="page371"/>
    <w:bookmarkEnd w:id="370"/>
    <w:p>
      <w:pPr>
        <w:ind w:left="4" w:right="40" w:firstLine="440"/>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 at any time</w:t>
      </w:r>
      <w:r>
        <w:rPr>
          <w:rFonts w:ascii="Arial" w:cs="Arial" w:eastAsia="Arial" w:hAnsi="Arial"/>
          <w:sz w:val="16"/>
          <w:szCs w:val="16"/>
          <w:b w:val="1"/>
          <w:bCs w:val="1"/>
          <w:color w:val="auto"/>
        </w:rPr>
        <w:t xml:space="preserve"> </w:t>
      </w:r>
      <w:r>
        <w:rPr>
          <w:rFonts w:ascii="Arial" w:cs="Arial" w:eastAsia="Arial" w:hAnsi="Arial"/>
          <w:sz w:val="16"/>
          <w:szCs w:val="16"/>
          <w:color w:val="auto"/>
        </w:rPr>
        <w:t>and from time to time, issue ADSs that are not evidenced by ADRs (such ADSs, the “</w:t>
      </w:r>
      <w:r>
        <w:rPr>
          <w:rFonts w:ascii="Arial" w:cs="Arial" w:eastAsia="Arial" w:hAnsi="Arial"/>
          <w:sz w:val="16"/>
          <w:szCs w:val="16"/>
          <w:u w:val="single" w:color="auto"/>
          <w:color w:val="auto"/>
        </w:rPr>
        <w:t>Uncertificated ADS(s)</w:t>
      </w:r>
      <w:r>
        <w:rPr>
          <w:rFonts w:ascii="Arial" w:cs="Arial" w:eastAsia="Arial" w:hAnsi="Arial"/>
          <w:sz w:val="16"/>
          <w:szCs w:val="16"/>
          <w:color w:val="auto"/>
        </w:rPr>
        <w:t>” and the ADS(s) evidenced by ADR(s), the “</w:t>
      </w:r>
      <w:r>
        <w:rPr>
          <w:rFonts w:ascii="Arial" w:cs="Arial" w:eastAsia="Arial" w:hAnsi="Arial"/>
          <w:sz w:val="16"/>
          <w:szCs w:val="16"/>
          <w:u w:val="single" w:color="auto"/>
          <w:color w:val="auto"/>
        </w:rPr>
        <w:t>Certificated ADS(s)</w:t>
      </w:r>
      <w:r>
        <w:rPr>
          <w:rFonts w:ascii="Arial" w:cs="Arial" w:eastAsia="Arial" w:hAnsi="Arial"/>
          <w:sz w:val="16"/>
          <w:szCs w:val="16"/>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w:t>
      </w:r>
    </w:p>
    <w:p>
      <w:pPr>
        <w:spacing w:after="0" w:line="5" w:lineRule="exact"/>
        <w:rPr>
          <w:sz w:val="20"/>
          <w:szCs w:val="20"/>
          <w:color w:val="auto"/>
        </w:rPr>
      </w:pPr>
    </w:p>
    <w:p>
      <w:pPr>
        <w:ind w:left="264" w:hanging="264"/>
        <w:spacing w:after="0"/>
        <w:tabs>
          <w:tab w:leader="none" w:pos="264"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applicable laws and any rules and regulations the Depositary may have established in respect of the Uncertificated ADSs, and (y) the continued</w:t>
      </w:r>
    </w:p>
    <w:p>
      <w:pPr>
        <w:spacing w:after="0" w:line="32" w:lineRule="exact"/>
        <w:rPr>
          <w:rFonts w:ascii="Arial" w:cs="Arial" w:eastAsia="Arial" w:hAnsi="Arial"/>
          <w:sz w:val="16"/>
          <w:szCs w:val="16"/>
          <w:color w:val="auto"/>
        </w:rPr>
      </w:pPr>
    </w:p>
    <w:p>
      <w:pPr>
        <w:ind w:left="4"/>
        <w:spacing w:after="0" w:line="281" w:lineRule="auto"/>
        <w:rPr>
          <w:rFonts w:ascii="Arial" w:cs="Arial" w:eastAsia="Arial" w:hAnsi="Arial"/>
          <w:sz w:val="16"/>
          <w:szCs w:val="16"/>
          <w:color w:val="auto"/>
        </w:rPr>
      </w:pPr>
      <w:r>
        <w:rPr>
          <w:rFonts w:ascii="Arial" w:cs="Arial" w:eastAsia="Arial" w:hAnsi="Arial"/>
          <w:sz w:val="16"/>
          <w:szCs w:val="16"/>
          <w:color w:val="auto"/>
        </w:rPr>
        <w:t>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4" w:lineRule="exact"/>
        <w:rPr>
          <w:rFonts w:ascii="Arial" w:cs="Arial" w:eastAsia="Arial" w:hAnsi="Arial"/>
          <w:sz w:val="16"/>
          <w:szCs w:val="16"/>
          <w:color w:val="auto"/>
        </w:rPr>
      </w:pPr>
    </w:p>
    <w:p>
      <w:pPr>
        <w:ind w:left="4" w:right="20" w:hanging="4"/>
        <w:spacing w:after="0" w:line="266" w:lineRule="auto"/>
        <w:tabs>
          <w:tab w:leader="none" w:pos="269" w:val="left"/>
        </w:tabs>
        <w:numPr>
          <w:ilvl w:val="0"/>
          <w:numId w:val="242"/>
        </w:numPr>
        <w:rPr>
          <w:rFonts w:ascii="Arial" w:cs="Arial" w:eastAsia="Arial" w:hAnsi="Arial"/>
          <w:sz w:val="17"/>
          <w:szCs w:val="17"/>
          <w:color w:val="auto"/>
        </w:rPr>
      </w:pPr>
      <w:r>
        <w:rPr>
          <w:rFonts w:ascii="Arial" w:cs="Arial" w:eastAsia="Arial" w:hAnsi="Arial"/>
          <w:sz w:val="17"/>
          <w:szCs w:val="17"/>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0" w:right="459" w:bottom="1440" w:gutter="0" w:footer="0" w:header="0"/>
        </w:sectPr>
      </w:pPr>
    </w:p>
    <w:bookmarkStart w:id="371" w:name="page372"/>
    <w:bookmarkEnd w:id="371"/>
    <w:p>
      <w:pPr>
        <w:ind w:firstLine="440"/>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 ADRs</w:t>
      </w:r>
      <w:r>
        <w:rPr>
          <w:rFonts w:ascii="Arial" w:cs="Arial" w:eastAsia="Arial" w:hAnsi="Arial"/>
          <w:sz w:val="16"/>
          <w:szCs w:val="16"/>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6"/>
          <w:szCs w:val="16"/>
          <w:u w:val="single" w:color="auto"/>
          <w:color w:val="auto"/>
        </w:rPr>
        <w:t>Uncertificated Restricted ADSs</w:t>
      </w:r>
      <w:r>
        <w:rPr>
          <w:rFonts w:ascii="Arial" w:cs="Arial" w:eastAsia="Arial" w:hAnsi="Arial"/>
          <w:sz w:val="16"/>
          <w:szCs w:val="16"/>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6"/>
          <w:szCs w:val="16"/>
          <w:b w:val="1"/>
          <w:bCs w:val="1"/>
          <w:color w:val="auto"/>
        </w:rPr>
        <w:t>)</w:t>
      </w:r>
      <w:r>
        <w:rPr>
          <w:rFonts w:ascii="Arial" w:cs="Arial" w:eastAsia="Arial" w:hAnsi="Arial"/>
          <w:sz w:val="16"/>
          <w:szCs w:val="16"/>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72" w:name="page373"/>
    <w:bookmarkEnd w:id="372"/>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Restricted ADRs, the Restricted ADSs and the Restricted Shares cease to be Restricted Securities, the Depositary, upon receipt of (x)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OBLIGATIONS OF 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w:t>
      </w:r>
      <w:r>
        <w:rPr>
          <w:rFonts w:ascii="Arial" w:cs="Arial" w:eastAsia="Arial" w:hAnsi="Arial"/>
          <w:sz w:val="16"/>
          <w:szCs w:val="16"/>
          <w:b w:val="1"/>
          <w:bCs w:val="1"/>
          <w:color w:val="auto"/>
        </w:rPr>
        <w:t xml:space="preserve"> </w:t>
      </w:r>
      <w:r>
        <w:rPr>
          <w:rFonts w:ascii="Arial" w:cs="Arial" w:eastAsia="Arial" w:hAnsi="Arial"/>
          <w:sz w:val="16"/>
          <w:szCs w:val="16"/>
          <w:color w:val="auto"/>
        </w:rPr>
        <w:t>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73" w:name="page374"/>
    <w:bookmarkEnd w:id="373"/>
    <w:p>
      <w:pPr>
        <w:ind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directors,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sectPr>
      </w:pPr>
    </w:p>
    <w:bookmarkStart w:id="374" w:name="page375"/>
    <w:bookmarkEnd w:id="374"/>
    <w:p>
      <w:pPr>
        <w:ind w:left="4" w:right="160"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w:t>
      </w:r>
    </w:p>
    <w:p>
      <w:pPr>
        <w:spacing w:after="0" w:line="2" w:lineRule="exact"/>
        <w:rPr>
          <w:sz w:val="20"/>
          <w:szCs w:val="20"/>
          <w:color w:val="auto"/>
        </w:rPr>
      </w:pPr>
    </w:p>
    <w:p>
      <w:pPr>
        <w:ind w:left="4" w:right="180" w:hanging="4"/>
        <w:spacing w:after="0" w:line="290" w:lineRule="auto"/>
        <w:tabs>
          <w:tab w:leader="none" w:pos="319"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0"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Compliance with Information Requests</w:t>
      </w:r>
      <w:r>
        <w:rPr>
          <w:rFonts w:ascii="Arial" w:cs="Arial" w:eastAsia="Arial" w:hAnsi="Arial"/>
          <w:sz w:val="18"/>
          <w:szCs w:val="18"/>
          <w:color w:val="auto"/>
        </w:rPr>
        <w:t>. Notwithstanding any other provision of the Deposit Agreement or any ADR(s),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Holder or Beneficial Owner owns ADSs (and Shares as the case may be) and regarding the identity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92"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the Deposit Agreement or any ADR(s) to the contrary,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restrict transfers of the Shares where such transfer might result in ownership of Shares exceeding limits imposed by applicable law or the Articles of Association.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Nothing herein shall be interpreted as obligating the Depositary or the Company to ensure compliance with the ownership restrictions described in this Section 3.5.</w:t>
      </w:r>
    </w:p>
    <w:p>
      <w:pPr>
        <w:spacing w:after="0" w:line="177" w:lineRule="exact"/>
        <w:rPr>
          <w:sz w:val="20"/>
          <w:szCs w:val="20"/>
          <w:color w:val="auto"/>
        </w:rPr>
      </w:pPr>
    </w:p>
    <w:p>
      <w:pPr>
        <w:ind w:left="4" w:right="40" w:firstLine="440"/>
        <w:spacing w:after="0" w:line="292"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b w:val="1"/>
          <w:bCs w:val="1"/>
          <w:u w:val="single" w:color="auto"/>
          <w:color w:val="auto"/>
        </w:rPr>
        <w:t>Reporting Obligations and Regulatory Approvals</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and regulations may require holders and beneficial owners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DEPOSITED SECURITIES</w:t>
      </w:r>
    </w:p>
    <w:p>
      <w:pPr>
        <w:spacing w:after="0" w:line="20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Deposited Securities, the Company shall give timely notice thereof to the Depositary at least twenty (20) days (or such other number of days as the Depositary and the Company may agree to in writing from time to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on any Deposited Securities,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on the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376" w:name="page377"/>
    <w:bookmarkEnd w:id="376"/>
    <w:p>
      <w:pPr>
        <w:ind w:firstLine="440"/>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 distribution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the Company shall give timely notice thereof to the Depositary at least twenty (20) days (or such other number of days as the Depositary and the Company may agree to in writing from time to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377" w:name="page378"/>
    <w:bookmarkEnd w:id="377"/>
    <w:p>
      <w:pPr>
        <w:ind w:left="4" w:right="480" w:firstLine="44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Deposited Securities in cash or in additional Shares, the Company shall give timely notice thereof to the Depositary at least forty-five</w:t>
      </w:r>
    </w:p>
    <w:p>
      <w:pPr>
        <w:spacing w:after="0" w:line="1" w:lineRule="exact"/>
        <w:rPr>
          <w:sz w:val="20"/>
          <w:szCs w:val="20"/>
          <w:color w:val="auto"/>
        </w:rPr>
      </w:pPr>
    </w:p>
    <w:p>
      <w:pPr>
        <w:ind w:left="4" w:hanging="4"/>
        <w:spacing w:after="0" w:line="283" w:lineRule="auto"/>
        <w:tabs>
          <w:tab w:leader="none" w:pos="34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days (or such other number of days as the Depositary and the Company may agree to in writing from time to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Distribution of Rights to Purchase Additional ADSs</w:t>
      </w:r>
      <w:r>
        <w:rPr>
          <w:rFonts w:ascii="Arial" w:cs="Arial" w:eastAsia="Arial" w:hAnsi="Arial"/>
          <w:sz w:val="18"/>
          <w:szCs w:val="18"/>
          <w:b w:val="1"/>
          <w:bCs w:val="1"/>
          <w:color w:val="auto"/>
        </w:rPr>
        <w:t>.</w:t>
      </w:r>
    </w:p>
    <w:p>
      <w:pPr>
        <w:spacing w:after="0" w:line="117" w:lineRule="exact"/>
        <w:rPr>
          <w:sz w:val="20"/>
          <w:szCs w:val="20"/>
          <w:color w:val="auto"/>
        </w:rPr>
      </w:pPr>
    </w:p>
    <w:p>
      <w:pPr>
        <w:ind w:left="4" w:right="20" w:firstLine="436"/>
        <w:spacing w:after="0" w:line="286" w:lineRule="auto"/>
        <w:tabs>
          <w:tab w:leader="none" w:pos="699" w:val="left"/>
        </w:tabs>
        <w:numPr>
          <w:ilvl w:val="0"/>
          <w:numId w:val="2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to ADS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distribute to the holders of the Deposited Securities rights to subscribe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Shares, the Company shall give timely notice thereof to the Depositary at least forty-five (45) days (or such other number of days as the Depositary and the Company may agree to in writing from time to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378" w:name="page379"/>
    <w:bookmarkEnd w:id="378"/>
    <w:p>
      <w:pPr>
        <w:ind w:firstLine="436"/>
        <w:spacing w:after="0" w:line="292" w:lineRule="auto"/>
        <w:tabs>
          <w:tab w:leader="none" w:pos="705" w:val="left"/>
        </w:tabs>
        <w:numPr>
          <w:ilvl w:val="0"/>
          <w:numId w:val="2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If (i) the Company does not timely request the Depositary to make the rights available to Holders or requests that the rights not</w:t>
      </w:r>
      <w:r>
        <w:rPr>
          <w:rFonts w:ascii="Arial" w:cs="Arial" w:eastAsia="Arial" w:hAnsi="Arial"/>
          <w:sz w:val="16"/>
          <w:szCs w:val="16"/>
          <w:b w:val="1"/>
          <w:bCs w:val="1"/>
          <w:color w:val="auto"/>
        </w:rPr>
        <w:t xml:space="preserve"> </w:t>
      </w:r>
      <w:r>
        <w:rPr>
          <w:rFonts w:ascii="Arial" w:cs="Arial" w:eastAsia="Arial" w:hAnsi="Arial"/>
          <w:sz w:val="16"/>
          <w:szCs w:val="16"/>
          <w:color w:val="auto"/>
        </w:rPr>
        <w:t>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53" w:lineRule="exact"/>
        <w:rPr>
          <w:rFonts w:ascii="Arial" w:cs="Arial" w:eastAsia="Arial" w:hAnsi="Arial"/>
          <w:sz w:val="16"/>
          <w:szCs w:val="16"/>
          <w:b w:val="1"/>
          <w:bCs w:val="1"/>
          <w:color w:val="auto"/>
        </w:rPr>
      </w:pPr>
    </w:p>
    <w:p>
      <w:pPr>
        <w:ind w:right="200" w:firstLine="436"/>
        <w:spacing w:after="0" w:line="282" w:lineRule="auto"/>
        <w:tabs>
          <w:tab w:leader="none" w:pos="685"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Lapse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Depositary is unable to make any rights available to Holders upon the terms described in Section 4.4(a) or to arrange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sale of the rights upon the terms described in Section 4.4(b), the Depositary shall allow such rights to lapse.</w:t>
      </w:r>
    </w:p>
    <w:p>
      <w:pPr>
        <w:spacing w:after="0" w:line="166"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6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379" w:name="page380"/>
    <w:bookmarkEnd w:id="379"/>
    <w:p>
      <w:pPr>
        <w:ind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Distributions Other Than Cash, Shares or Rights to Purchase Shares</w:t>
      </w:r>
      <w:r>
        <w:rPr>
          <w:rFonts w:ascii="Arial" w:cs="Arial" w:eastAsia="Arial" w:hAnsi="Arial"/>
          <w:sz w:val="18"/>
          <w:szCs w:val="18"/>
          <w:b w:val="1"/>
          <w:bCs w:val="1"/>
          <w:color w:val="auto"/>
        </w:rPr>
        <w:t>.</w:t>
      </w:r>
    </w:p>
    <w:p>
      <w:pPr>
        <w:spacing w:after="0" w:line="121" w:lineRule="exact"/>
        <w:rPr>
          <w:sz w:val="20"/>
          <w:szCs w:val="20"/>
          <w:color w:val="auto"/>
        </w:rPr>
      </w:pPr>
    </w:p>
    <w:p>
      <w:pPr>
        <w:ind w:firstLine="436"/>
        <w:spacing w:after="0" w:line="272" w:lineRule="auto"/>
        <w:tabs>
          <w:tab w:leader="none" w:pos="695"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69" w:lineRule="exact"/>
        <w:rPr>
          <w:rFonts w:ascii="Arial" w:cs="Arial" w:eastAsia="Arial" w:hAnsi="Arial"/>
          <w:sz w:val="17"/>
          <w:szCs w:val="17"/>
          <w:b w:val="1"/>
          <w:bCs w:val="1"/>
          <w:color w:val="auto"/>
        </w:rPr>
      </w:pPr>
    </w:p>
    <w:p>
      <w:pPr>
        <w:ind w:right="180" w:firstLine="436"/>
        <w:spacing w:after="0" w:line="272" w:lineRule="auto"/>
        <w:tabs>
          <w:tab w:leader="none" w:pos="705"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69" w:lineRule="exact"/>
        <w:rPr>
          <w:rFonts w:ascii="Arial" w:cs="Arial" w:eastAsia="Arial" w:hAnsi="Arial"/>
          <w:sz w:val="17"/>
          <w:szCs w:val="17"/>
          <w:b w:val="1"/>
          <w:bCs w:val="1"/>
          <w:color w:val="auto"/>
        </w:rPr>
      </w:pPr>
    </w:p>
    <w:p>
      <w:pPr>
        <w:ind w:right="20" w:firstLine="436"/>
        <w:spacing w:after="0" w:line="254" w:lineRule="auto"/>
        <w:tabs>
          <w:tab w:leader="none" w:pos="685"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80" w:name="page381"/>
    <w:bookmarkEnd w:id="380"/>
    <w:p>
      <w:pPr>
        <w:jc w:val="both"/>
        <w:ind w:right="220" w:firstLine="436"/>
        <w:spacing w:after="0" w:line="263" w:lineRule="auto"/>
        <w:tabs>
          <w:tab w:leader="none" w:pos="705"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jc w:val="both"/>
        <w:ind w:right="20" w:firstLine="440"/>
        <w:spacing w:after="0" w:line="298"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Distributions with Respect to Deposited Securities in Bearer Form</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of this Article IV, distributions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5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give timely notice thereof to the Depositary at least forty-five (45) days (or such other number of days as the Depositary and the Company may agree to in writing from time to time)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81" w:name="page382"/>
    <w:bookmarkEnd w:id="381"/>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4.8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 dividends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82" w:name="page383"/>
    <w:bookmarkEnd w:id="382"/>
    <w:p>
      <w:pPr>
        <w:ind w:right="60"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4.9 </w:t>
      </w: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 Record</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64"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in which such voting instructions may be given or deemed to have been given in accordance with this</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Section 4.10 if no instructions are received prior to the deadline for such purposes to the Depositary to give a discretionary proxy to a person designated by the Company. Notwithstanding anything contained in the Deposit Agreement to the contrary, in the event the Company fails to timely request that the Depositary distribute the information as provided for in this Section 4.10, the Depositary agrees to use commercially reasonable efforts to perform the actions contemplated in this Section 4.10, and the Company, the Holders and the Beneficial Owners acknowledge that the Depositary shall have no liability for the Depositary’s failure to perform the actions contemplated in this Section 4.10 where such notice has not been so timely given, other than its failure to use commercially reasonable efforts, as provided herein.</w:t>
      </w:r>
    </w:p>
    <w:p>
      <w:pPr>
        <w:spacing w:after="0" w:line="178" w:lineRule="exact"/>
        <w:rPr>
          <w:sz w:val="20"/>
          <w:szCs w:val="20"/>
          <w:color w:val="auto"/>
        </w:rPr>
      </w:pPr>
    </w:p>
    <w:p>
      <w:pPr>
        <w:ind w:right="300" w:firstLine="440"/>
        <w:spacing w:after="0" w:line="296" w:lineRule="auto"/>
        <w:rPr>
          <w:sz w:val="20"/>
          <w:szCs w:val="20"/>
          <w:color w:val="auto"/>
        </w:rPr>
      </w:pPr>
      <w:r>
        <w:rPr>
          <w:rFonts w:ascii="Arial" w:cs="Arial" w:eastAsia="Arial" w:hAnsi="Arial"/>
          <w:sz w:val="16"/>
          <w:szCs w:val="16"/>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e.g.</w:t>
      </w:r>
      <w:r>
        <w:rPr>
          <w:rFonts w:ascii="Arial" w:cs="Arial" w:eastAsia="Arial" w:hAnsi="Arial"/>
          <w:sz w:val="16"/>
          <w:szCs w:val="16"/>
          <w:color w:val="auto"/>
        </w:rPr>
        <w:t>, by reference to a website containing the materials for retrieval or a contact for requesting copies of the materials).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83" w:name="page384"/>
    <w:bookmarkEnd w:id="383"/>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has been advised by the Company that under the Articles of Association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as in effect on the date of the Deposit Agreement, a poll may be demanded by the chairman of the meeting or any shareholder holding not less than ten percent (10%) of the votes attaching to the Shares present at the meeting.</w:t>
      </w:r>
    </w:p>
    <w:p>
      <w:pPr>
        <w:spacing w:after="0" w:line="188"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Arial" w:cs="Arial" w:eastAsia="Arial" w:hAnsi="Arial"/>
          <w:sz w:val="16"/>
          <w:szCs w:val="16"/>
          <w:i w:val="1"/>
          <w:iCs w:val="1"/>
          <w:color w:val="auto"/>
        </w:rPr>
        <w:t>in the event voting takes place at a shareholders’ meeting by a show of hands</w:t>
      </w:r>
      <w:r>
        <w:rPr>
          <w:rFonts w:ascii="Arial" w:cs="Arial" w:eastAsia="Arial" w:hAnsi="Arial"/>
          <w:sz w:val="16"/>
          <w:szCs w:val="16"/>
          <w:color w:val="auto"/>
        </w:rPr>
        <w:t xml:space="preserve">, the Depositary will instruct the Custodian to vote all Deposited Securities in accordance with the voting instructions received timely from a majority of Holders of ADSs who provided voting instructions, and (b) </w:t>
      </w:r>
      <w:r>
        <w:rPr>
          <w:rFonts w:ascii="Arial" w:cs="Arial" w:eastAsia="Arial" w:hAnsi="Arial"/>
          <w:sz w:val="16"/>
          <w:szCs w:val="16"/>
          <w:i w:val="1"/>
          <w:iCs w:val="1"/>
          <w:color w:val="auto"/>
        </w:rPr>
        <w:t>in the event voting takes place at a shareholders’ meeting by poll</w:t>
      </w:r>
      <w:r>
        <w:rPr>
          <w:rFonts w:ascii="Arial" w:cs="Arial" w:eastAsia="Arial" w:hAnsi="Arial"/>
          <w:sz w:val="16"/>
          <w:szCs w:val="16"/>
          <w:color w:val="auto"/>
        </w:rPr>
        <w:t xml:space="preserve">,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7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otherwise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384" w:name="page385"/>
    <w:bookmarkEnd w:id="384"/>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the Cayman Islands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85" w:name="page386"/>
    <w:bookmarkEnd w:id="385"/>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4.12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right="120" w:firstLine="440"/>
        <w:spacing w:after="0" w:line="303"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any reports and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51"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names, addresses and holdings of ADSs of all Holders.</w:t>
      </w:r>
    </w:p>
    <w:p>
      <w:pPr>
        <w:spacing w:after="0" w:line="162"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b w:val="1"/>
          <w:bCs w:val="1"/>
          <w:color w:val="auto"/>
        </w:rPr>
        <w:t xml:space="preserve">Section 4.15 </w:t>
      </w:r>
      <w:r>
        <w:rPr>
          <w:rFonts w:ascii="Arial" w:cs="Arial" w:eastAsia="Arial" w:hAnsi="Arial"/>
          <w:sz w:val="16"/>
          <w:szCs w:val="16"/>
          <w:b w:val="1"/>
          <w:bCs w:val="1"/>
          <w:u w:val="single" w:color="auto"/>
          <w:color w:val="auto"/>
        </w:rPr>
        <w:t>Taxation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will, and will instruct the Custodian to, forward to the Company or its agents such information from its</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0" w:right="439" w:bottom="1440" w:gutter="0" w:footer="0" w:header="0"/>
        </w:sectPr>
      </w:pPr>
    </w:p>
    <w:bookmarkStart w:id="386" w:name="page387"/>
    <w:bookmarkEnd w:id="386"/>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e.g.</w:t>
      </w:r>
      <w:r>
        <w:rPr>
          <w:rFonts w:ascii="Arial" w:cs="Arial" w:eastAsia="Arial" w:hAnsi="Arial"/>
          <w:sz w:val="17"/>
          <w:szCs w:val="17"/>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None of the Company, the Depositary and the Custodian shall be liable for the failure by any Holder or Beneficial Owner to obtain the benefits of credits on the basis of non-U.S. tax paid against such Holder’s or Beneficial Owner’s income tax liability.</w:t>
      </w:r>
    </w:p>
    <w:p>
      <w:pPr>
        <w:spacing w:after="0" w:line="18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Neither the Company nor the Depositary shall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07"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b w:val="1"/>
          <w:bCs w:val="1"/>
          <w:color w:val="auto"/>
        </w:rPr>
        <w:t xml:space="preserve">Section 5.1 </w:t>
      </w:r>
      <w:r>
        <w:rPr>
          <w:rFonts w:ascii="Arial" w:cs="Arial" w:eastAsia="Arial" w:hAnsi="Arial"/>
          <w:sz w:val="17"/>
          <w:szCs w:val="17"/>
          <w:b w:val="1"/>
          <w:bCs w:val="1"/>
          <w:u w:val="single" w:color="auto"/>
          <w:color w:val="auto"/>
        </w:rPr>
        <w:t>Maintenance of Office and Transfer Books by the 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Until termination of the Deposit Agreement in accordance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387" w:name="page388"/>
    <w:bookmarkEnd w:id="387"/>
    <w:p>
      <w:pPr>
        <w:jc w:val="both"/>
        <w:ind w:left="4"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84"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The Depositary shall notify the Company of any such removal or appointment.</w:t>
      </w:r>
    </w:p>
    <w:p>
      <w:pPr>
        <w:spacing w:after="0" w:line="184"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w:t>
      </w:r>
    </w:p>
    <w:p>
      <w:pPr>
        <w:spacing w:after="0" w:line="5" w:lineRule="exact"/>
        <w:rPr>
          <w:sz w:val="20"/>
          <w:szCs w:val="20"/>
          <w:color w:val="auto"/>
        </w:rPr>
      </w:pPr>
    </w:p>
    <w:p>
      <w:pPr>
        <w:ind w:left="4" w:right="100" w:hanging="4"/>
        <w:spacing w:after="0" w:line="270" w:lineRule="auto"/>
        <w:tabs>
          <w:tab w:leader="none" w:pos="319" w:val="left"/>
        </w:tabs>
        <w:numPr>
          <w:ilvl w:val="0"/>
          <w:numId w:val="249"/>
        </w:numPr>
        <w:rPr>
          <w:rFonts w:ascii="Arial" w:cs="Arial" w:eastAsia="Arial" w:hAnsi="Arial"/>
          <w:sz w:val="17"/>
          <w:szCs w:val="17"/>
          <w:color w:val="auto"/>
        </w:rPr>
      </w:pPr>
      <w:r>
        <w:rPr>
          <w:rFonts w:ascii="Arial" w:cs="Arial" w:eastAsia="Arial" w:hAnsi="Arial"/>
          <w:sz w:val="17"/>
          <w:szCs w:val="17"/>
          <w:color w:val="auto"/>
        </w:rPr>
        <w:t>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388" w:name="page389"/>
    <w:bookmarkEnd w:id="388"/>
    <w:p>
      <w:pPr>
        <w:jc w:val="both"/>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0"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b w:val="1"/>
          <w:bCs w:val="1"/>
          <w:color w:val="auto"/>
        </w:rPr>
        <w:t xml:space="preserve">Section 5.3 </w:t>
      </w:r>
      <w:r>
        <w:rPr>
          <w:rFonts w:ascii="Arial" w:cs="Arial" w:eastAsia="Arial" w:hAnsi="Arial"/>
          <w:sz w:val="17"/>
          <w:szCs w:val="17"/>
          <w:b w:val="1"/>
          <w:bCs w:val="1"/>
          <w:u w:val="single" w:color="auto"/>
          <w:color w:val="auto"/>
        </w:rPr>
        <w:t>Standard of Care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the Depositary assume no obligation and shall not be subject to any liability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62" w:lineRule="exact"/>
        <w:rPr>
          <w:sz w:val="20"/>
          <w:szCs w:val="20"/>
          <w:color w:val="auto"/>
        </w:rPr>
      </w:pPr>
    </w:p>
    <w:p>
      <w:pPr>
        <w:ind w:right="240" w:firstLine="440"/>
        <w:spacing w:after="0" w:line="275" w:lineRule="auto"/>
        <w:rPr>
          <w:sz w:val="20"/>
          <w:szCs w:val="20"/>
          <w:color w:val="auto"/>
        </w:rPr>
      </w:pPr>
      <w:r>
        <w:rPr>
          <w:rFonts w:ascii="Arial" w:cs="Arial" w:eastAsia="Arial" w:hAnsi="Arial"/>
          <w:sz w:val="17"/>
          <w:szCs w:val="17"/>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7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1"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89" w:name="page390"/>
    <w:bookmarkEnd w:id="389"/>
    <w:p>
      <w:pPr>
        <w:ind w:left="4" w:right="2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 as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6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spacing w:after="0" w:line="46" w:lineRule="exact"/>
        <w:rPr>
          <w:sz w:val="20"/>
          <w:szCs w:val="20"/>
          <w:color w:val="auto"/>
        </w:rPr>
      </w:pPr>
    </w:p>
    <w:p>
      <w:pPr>
        <w:ind w:left="224" w:hanging="224"/>
        <w:spacing w:after="0"/>
        <w:tabs>
          <w:tab w:leader="none" w:pos="22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90th day after delivery thereof to the Depositary (whereupon the Depositary shall be entitled to take the actions contemplated in Section 6.2), or</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upon the appointment by the Company of a successor depositary and its acceptance of such appointment as hereinafter provided.</w:t>
      </w:r>
    </w:p>
    <w:p>
      <w:pPr>
        <w:spacing w:after="0" w:line="211"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In case at any time the Depositary acting hereunder shall resign or be removed, the Company shall use its commercially reasonable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68"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 Hong Kong as Custodian for the purpose of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Custodian or its successors in acting hereunder shall be authorized to act as custodian in the Cayman Islands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390" w:name="page391"/>
    <w:bookmarkEnd w:id="390"/>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8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193"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made available to the Depositary and the Custodian a copy of the Articles of Association along with the provisions of or governing the Shares and any other Deposited Securities issued by the Company in connection with such Shares, and promptly upon any amendment thereto or change therein, the Company shall notify the Depositary and the Custodian of such amendment or change and make available to the Depositary and the Custodian a copy of such amendment thereto or change therein to the extent such amendment or change is not available on the Company’s website or is not otherwise publicly available. The Depositary may rely upon such copy for all purposes of the Deposit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391" w:name="page392"/>
    <w:bookmarkEnd w:id="391"/>
    <w:p>
      <w:pPr>
        <w:ind w:left="4"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80"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w:t>
      </w:r>
    </w:p>
    <w:p>
      <w:pPr>
        <w:spacing w:after="0" w:line="2" w:lineRule="exact"/>
        <w:rPr>
          <w:sz w:val="20"/>
          <w:szCs w:val="20"/>
          <w:color w:val="auto"/>
        </w:rPr>
      </w:pPr>
    </w:p>
    <w:p>
      <w:pPr>
        <w:ind w:left="4" w:hanging="4"/>
        <w:spacing w:after="0" w:line="281" w:lineRule="auto"/>
        <w:tabs>
          <w:tab w:leader="none" w:pos="25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(1) requires a registration statement under the Securities Act to be in effect or (2) is exempt from the registration requirements of the Securities Act and</w:t>
      </w:r>
    </w:p>
    <w:p>
      <w:pPr>
        <w:spacing w:after="0" w:line="32" w:lineRule="exact"/>
        <w:rPr>
          <w:rFonts w:ascii="Arial" w:cs="Arial" w:eastAsia="Arial" w:hAnsi="Arial"/>
          <w:sz w:val="16"/>
          <w:szCs w:val="16"/>
          <w:color w:val="auto"/>
        </w:rPr>
      </w:pPr>
    </w:p>
    <w:p>
      <w:pPr>
        <w:ind w:left="4" w:right="20" w:hanging="4"/>
        <w:spacing w:after="0" w:line="284" w:lineRule="auto"/>
        <w:tabs>
          <w:tab w:leader="none" w:pos="25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 opinion of Cayman Islands counsel stating that (1) making the transaction available to Holders and Beneficial Owners does not violate the laws or regulations of the Cayman Islands and (2) all requisite regulatory consents and approvals have been obtained in the Cayman Islands; provided, however, that the Depositary may waive the requirement of such opinions in the event of an issuance of Shares as a bonus or compensation, share-split or other similar event.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392" w:name="page393"/>
    <w:bookmarkEnd w:id="392"/>
    <w:p>
      <w:pPr>
        <w:ind w:left="4"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ind w:left="4" w:right="100" w:firstLine="440"/>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and/or the Custodian (for as long as the Custodian is a branch of Citibank) under the terms hereof due to the negligence or bad faith of the Depositary and/or the Custodian (for as long as the Custodian is a branch of Citibank).</w:t>
      </w:r>
    </w:p>
    <w:p>
      <w:pPr>
        <w:spacing w:after="0" w:line="187" w:lineRule="exact"/>
        <w:rPr>
          <w:sz w:val="20"/>
          <w:szCs w:val="20"/>
          <w:color w:val="auto"/>
        </w:rPr>
      </w:pPr>
    </w:p>
    <w:p>
      <w:pPr>
        <w:jc w:val="both"/>
        <w:ind w:left="4" w:right="60" w:firstLine="440"/>
        <w:spacing w:after="0" w:line="286" w:lineRule="auto"/>
        <w:rPr>
          <w:sz w:val="20"/>
          <w:szCs w:val="20"/>
          <w:color w:val="auto"/>
        </w:rPr>
      </w:pPr>
      <w:r>
        <w:rPr>
          <w:rFonts w:ascii="Arial" w:cs="Arial" w:eastAsia="Arial" w:hAnsi="Arial"/>
          <w:sz w:val="16"/>
          <w:szCs w:val="16"/>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w:t>
      </w:r>
    </w:p>
    <w:p>
      <w:pPr>
        <w:spacing w:after="0" w:line="1" w:lineRule="exact"/>
        <w:rPr>
          <w:sz w:val="20"/>
          <w:szCs w:val="20"/>
          <w:color w:val="auto"/>
        </w:rPr>
      </w:pPr>
    </w:p>
    <w:p>
      <w:pPr>
        <w:ind w:left="4" w:hanging="4"/>
        <w:spacing w:after="0" w:line="251" w:lineRule="auto"/>
        <w:tabs>
          <w:tab w:leader="none" w:pos="24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out of acts performed or omitted, including, but not limited to, any delivery by the Depositary on behalf of the Company of information regarding the Company, in connection with the Deposit Agreement,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any of the Depositary, the Custodian, or its or their respective directors, officers, employees, agents and Affiliates against any taxes imposed on net income of the Depositary or the Custodian or any liability or expense arising out of information relating to the Depositary or such Custodian, as the case may be, furnished in writing by the Depositary to the Company expressly for use in any registration statement, proxy statement, prospectus, preliminary prospectus or any other offering document relating to the ADRs, the ADSs or any Deposited Securities represented by the ADSs.</w:t>
      </w:r>
    </w:p>
    <w:p>
      <w:pPr>
        <w:spacing w:after="0" w:line="197"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The obligations set forth in this Section shall survive the termination of the Deposit Agreement and the succession or substitution of any party hereto.</w:t>
      </w:r>
    </w:p>
    <w:p>
      <w:pPr>
        <w:spacing w:after="0" w:line="170"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393" w:name="page394"/>
    <w:bookmarkEnd w:id="393"/>
    <w:p>
      <w:pPr>
        <w:ind w:right="200"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5.9 </w:t>
      </w:r>
      <w:r>
        <w:rPr>
          <w:rFonts w:ascii="Arial" w:cs="Arial" w:eastAsia="Arial" w:hAnsi="Arial"/>
          <w:sz w:val="17"/>
          <w:szCs w:val="17"/>
          <w:b w:val="1"/>
          <w:bCs w:val="1"/>
          <w:u w:val="single" w:color="auto"/>
          <w:color w:val="auto"/>
        </w:rPr>
        <w:t>ADS Fees and Charges</w:t>
      </w:r>
      <w:r>
        <w:rPr>
          <w:rFonts w:ascii="Arial" w:cs="Arial" w:eastAsia="Arial" w:hAnsi="Arial"/>
          <w:sz w:val="17"/>
          <w:szCs w:val="17"/>
          <w:color w:val="auto"/>
        </w:rPr>
        <w:t>. The Company, the Holders, the Beneficial Owners, persons depositing Shares or withdrawing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Securities in connection with the issuance and cancellation of ADSs, and persons receiving ADSs upon issuance or whose ADSs are being cancelled shall be required to pay the Depositary’s fees and related charges identified as payable by them respectively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any such change may be made only in the manner contemplated in Section 6.1. The Depositary shall provide, without charge, a copy of its latest ADS fee schedule to anyone upon request.</w:t>
      </w:r>
    </w:p>
    <w:p>
      <w:pPr>
        <w:spacing w:after="0" w:line="176"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80"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0" w:right="439" w:bottom="1440" w:gutter="0" w:footer="0" w:header="0"/>
        </w:sectPr>
      </w:pPr>
    </w:p>
    <w:bookmarkStart w:id="394" w:name="page395"/>
    <w:bookmarkEnd w:id="394"/>
    <w:p>
      <w:pPr>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Holders and Beneficial Owners to pay ADS fees and charges shall survive the termination of the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80" w:lineRule="exact"/>
        <w:rPr>
          <w:sz w:val="20"/>
          <w:szCs w:val="20"/>
          <w:color w:val="auto"/>
        </w:rPr>
      </w:pPr>
    </w:p>
    <w:p>
      <w:pPr>
        <w:ind w:right="180" w:firstLine="440"/>
        <w:spacing w:after="0" w:line="281" w:lineRule="auto"/>
        <w:rPr>
          <w:sz w:val="20"/>
          <w:szCs w:val="20"/>
          <w:color w:val="auto"/>
        </w:rPr>
      </w:pPr>
      <w:r>
        <w:rPr>
          <w:rFonts w:ascii="Arial" w:cs="Arial" w:eastAsia="Arial" w:hAnsi="Arial"/>
          <w:sz w:val="17"/>
          <w:szCs w:val="17"/>
          <w:b w:val="1"/>
          <w:bCs w:val="1"/>
          <w:color w:val="auto"/>
        </w:rPr>
        <w:t xml:space="preserve">Section 5.10 </w:t>
      </w:r>
      <w:r>
        <w:rPr>
          <w:rFonts w:ascii="Arial" w:cs="Arial" w:eastAsia="Arial" w:hAnsi="Arial"/>
          <w:sz w:val="17"/>
          <w:szCs w:val="17"/>
          <w:b w:val="1"/>
          <w:bCs w:val="1"/>
          <w:u w:val="single" w:color="auto"/>
          <w:color w:val="auto"/>
        </w:rPr>
        <w:t>Restricted Securities Owners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agrees to advise in writing each of the persons or entities who, to the knowledge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20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each such case, the notice given to the Holders identifies a means for Holders and Beneficial Owners to retrieve or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395" w:name="page396"/>
    <w:bookmarkEnd w:id="395"/>
    <w:p>
      <w:pPr>
        <w:ind w:left="4"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6.2 </w:t>
      </w: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at any time at the written direction of the Company, terminate the Deposit Agreement by</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81"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w:t>
      </w:r>
    </w:p>
    <w:p>
      <w:pPr>
        <w:spacing w:after="0" w:line="2" w:lineRule="exact"/>
        <w:rPr>
          <w:sz w:val="20"/>
          <w:szCs w:val="20"/>
          <w:color w:val="auto"/>
        </w:rPr>
      </w:pPr>
    </w:p>
    <w:p>
      <w:pPr>
        <w:ind w:left="5424" w:right="1320" w:hanging="5424"/>
        <w:spacing w:after="0" w:line="433" w:lineRule="auto"/>
        <w:tabs>
          <w:tab w:leader="none" w:pos="31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take such actions as may be required under applicable law in connection with its role as Depositary under the Deposit Agreement. 40</w:t>
      </w:r>
    </w:p>
    <w:p>
      <w:pPr>
        <w:sectPr>
          <w:pgSz w:w="11900" w:h="16838" w:orient="portrait"/>
          <w:cols w:equalWidth="0" w:num="1">
            <w:col w:w="10964"/>
          </w:cols>
          <w:pgMar w:left="436" w:top="270" w:right="499" w:bottom="1440" w:gutter="0" w:footer="0" w:header="0"/>
        </w:sectPr>
      </w:pPr>
    </w:p>
    <w:bookmarkStart w:id="396" w:name="page397"/>
    <w:bookmarkEnd w:id="396"/>
    <w:p>
      <w:pPr>
        <w:ind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2"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of such counterparts together shall constitute one and the same agreement. Copies of the Deposit Agreement shall be maintained with the Depositary and shall be open to inspection by any Holder during business hours.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397" w:name="page398"/>
    <w:bookmarkEnd w:id="397"/>
    <w:p>
      <w:pPr>
        <w:ind w:left="4" w:right="20"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w:t>
      </w:r>
    </w:p>
    <w:p>
      <w:pPr>
        <w:spacing w:after="0" w:line="2" w:lineRule="exact"/>
        <w:rPr>
          <w:sz w:val="20"/>
          <w:szCs w:val="20"/>
          <w:color w:val="auto"/>
        </w:rPr>
      </w:pPr>
    </w:p>
    <w:p>
      <w:pPr>
        <w:ind w:left="4" w:right="280" w:hanging="4"/>
        <w:spacing w:after="0" w:line="281" w:lineRule="auto"/>
        <w:tabs>
          <w:tab w:leader="none" w:pos="26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255"/>
        </w:numPr>
        <w:rPr>
          <w:rFonts w:ascii="Arial" w:cs="Arial" w:eastAsia="Arial" w:hAnsi="Arial"/>
          <w:sz w:val="17"/>
          <w:szCs w:val="17"/>
          <w:color w:val="auto"/>
        </w:rPr>
      </w:pPr>
      <w:r>
        <w:rPr>
          <w:rFonts w:ascii="Arial" w:cs="Arial" w:eastAsia="Arial" w:hAnsi="Arial"/>
          <w:sz w:val="17"/>
          <w:szCs w:val="17"/>
          <w:color w:val="auto"/>
        </w:rPr>
        <w:t>the Depositary and its Affiliates may from time to time have in their possession non-public information about the Company, the Holders, the</w:t>
      </w:r>
    </w:p>
    <w:p>
      <w:pPr>
        <w:spacing w:after="0" w:line="20" w:lineRule="exact"/>
        <w:rPr>
          <w:rFonts w:ascii="Arial" w:cs="Arial" w:eastAsia="Arial" w:hAnsi="Arial"/>
          <w:sz w:val="17"/>
          <w:szCs w:val="17"/>
          <w:color w:val="auto"/>
        </w:rPr>
      </w:pPr>
    </w:p>
    <w:p>
      <w:pPr>
        <w:ind w:left="4" w:right="20"/>
        <w:spacing w:after="0" w:line="287" w:lineRule="auto"/>
        <w:rPr>
          <w:rFonts w:ascii="Arial" w:cs="Arial" w:eastAsia="Arial" w:hAnsi="Arial"/>
          <w:sz w:val="17"/>
          <w:szCs w:val="17"/>
          <w:color w:val="auto"/>
        </w:rPr>
      </w:pPr>
      <w:r>
        <w:rPr>
          <w:rFonts w:ascii="Arial" w:cs="Arial" w:eastAsia="Arial" w:hAnsi="Arial"/>
          <w:sz w:val="16"/>
          <w:szCs w:val="16"/>
          <w:color w:val="auto"/>
        </w:rPr>
        <w:t>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66"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shall be parties to the Deposit Agreement and shall be bound by all of the terms and conditions hereof and of any ADR evidencing their ADSs by acceptance thereof or any beneficial interest therein.</w:t>
      </w:r>
    </w:p>
    <w:p>
      <w:pPr>
        <w:spacing w:after="0" w:line="176" w:lineRule="exact"/>
        <w:rPr>
          <w:sz w:val="20"/>
          <w:szCs w:val="20"/>
          <w:color w:val="auto"/>
        </w:rPr>
      </w:pPr>
    </w:p>
    <w:p>
      <w:pPr>
        <w:ind w:left="4" w:right="60" w:firstLine="440"/>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mail, air courier or cable, telex or facsimile transmission, confirmed by letter personally delivered or sent by mail or air courier, addressed to 12th Floor, No. 6 Building, 433 Songhu Road, Shanghai, the People’s Republic of China, </w:t>
      </w:r>
      <w:r>
        <w:rPr>
          <w:rFonts w:ascii="Arial" w:cs="Arial" w:eastAsia="Arial" w:hAnsi="Arial"/>
          <w:sz w:val="18"/>
          <w:szCs w:val="18"/>
          <w:u w:val="single" w:color="auto"/>
          <w:color w:val="auto"/>
        </w:rPr>
        <w:t>Attention</w:t>
      </w:r>
      <w:r>
        <w:rPr>
          <w:rFonts w:ascii="Arial" w:cs="Arial" w:eastAsia="Arial" w:hAnsi="Arial"/>
          <w:sz w:val="18"/>
          <w:szCs w:val="18"/>
          <w:color w:val="auto"/>
        </w:rPr>
        <w:t>: Chief Financial Officer, or to any other address which the Company may specify in writing to the Depositary.</w:t>
      </w:r>
    </w:p>
    <w:p>
      <w:pPr>
        <w:spacing w:after="0" w:line="184"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3"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 xml:space="preserve">Any and all notices to be given to any Holder shall be deemed to have been duly given </w:t>
      </w:r>
      <w:r>
        <w:rPr>
          <w:rFonts w:ascii="Arial" w:cs="Arial" w:eastAsia="Arial" w:hAnsi="Arial"/>
          <w:sz w:val="16"/>
          <w:szCs w:val="16"/>
          <w:b w:val="1"/>
          <w:bCs w:val="1"/>
          <w:color w:val="auto"/>
        </w:rPr>
        <w:t>(a)</w:t>
      </w:r>
      <w:r>
        <w:rPr>
          <w:rFonts w:ascii="Arial" w:cs="Arial" w:eastAsia="Arial" w:hAnsi="Arial"/>
          <w:sz w:val="16"/>
          <w:szCs w:val="16"/>
          <w:color w:val="auto"/>
        </w:rPr>
        <w:t xml:space="preserve">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w:t>
      </w:r>
      <w:r>
        <w:rPr>
          <w:rFonts w:ascii="Arial" w:cs="Arial" w:eastAsia="Arial" w:hAnsi="Arial"/>
          <w:sz w:val="16"/>
          <w:szCs w:val="16"/>
          <w:b w:val="1"/>
          <w:bCs w:val="1"/>
          <w:color w:val="auto"/>
        </w:rPr>
        <w:t>(b)</w:t>
      </w:r>
      <w:r>
        <w:rPr>
          <w:rFonts w:ascii="Arial" w:cs="Arial" w:eastAsia="Arial" w:hAnsi="Arial"/>
          <w:sz w:val="16"/>
          <w:szCs w:val="16"/>
          <w:color w:val="auto"/>
        </w:rPr>
        <w:t xml:space="preserve">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4"/>
          </w:cols>
          <w:pgMar w:left="436" w:top="270" w:right="439" w:bottom="1440" w:gutter="0" w:footer="0" w:header="0"/>
        </w:sectPr>
      </w:pPr>
    </w:p>
    <w:bookmarkStart w:id="398" w:name="page399"/>
    <w:bookmarkEnd w:id="398"/>
    <w:p>
      <w:pPr>
        <w:ind w:right="10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6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b w:val="1"/>
          <w:bCs w:val="1"/>
          <w:color w:val="auto"/>
        </w:rPr>
        <w:t xml:space="preserve">Section 7.6 </w:t>
      </w:r>
      <w:r>
        <w:rPr>
          <w:rFonts w:ascii="Arial" w:cs="Arial" w:eastAsia="Arial" w:hAnsi="Arial"/>
          <w:sz w:val="17"/>
          <w:szCs w:val="17"/>
          <w:b w:val="1"/>
          <w:bCs w:val="1"/>
          <w:u w:val="single" w:color="auto"/>
          <w:color w:val="auto"/>
        </w:rPr>
        <w:t>Governing Law and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 Agreement, the ADRs and the ADSs shall be interpreted in accordance with,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rights hereunder and thereunder and provisions hereof and thereof shall be governed by, the laws of the State of New York without reference to the principles of choice of law thereof.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7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Except as set forth in the fifth (5th) paragraph of this Section 7.6, the Company and the Depositary agree that the United States District Court for the Southern District of New York (or, if the United States District Court for the Southern District of New York lacks subject matter jurisdiction over a particular dispute, in the state courts in New York County, New York) shall have exclusive jurisdiction to hear and determine any suit, action or proceeding and to settle any dispute between them that may arise out of or relate in any way to the Deposit Agreement, including without limitation claims under the Securities Act of 1933 arising out of or relating in any way to the Deposit Agreement, and, for such purposes, each irrevocably submits to the exclusive jurisdiction of such courts.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399" w:name="page400"/>
    <w:bookmarkEnd w:id="399"/>
    <w:p>
      <w:pPr>
        <w:ind w:right="20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and Beneficial Owners understand, and by holding an American Depositary Share or an interest therein such Holders and Beneficial Owners each irrevocably agrees, that any legal suit, action or proceeding against or involving the Company or the Depositary, regardless of whether such legal suit, action or proceeding also involves parties other than the Company or the Depositary (including, but not limited to, any underwriters retained by the Company), arising out of or relating in any way to this Deposit Agreement, the American Depositary Shares or Receipts, or the transactions contemplated hereby or thereby or by virtue of ownership thereof, including without limitation claims under the Securities Act of 1933, may only be instituted in the United States District Court for the Southern District of New York (or, if the Southern District of New York lacks subject matter jurisdiction over a particular dispute, in the state courts of New York County,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16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Company hereby irrevocably designates, appoints and empowers Cogency Global Inc. (the “</w:t>
      </w:r>
      <w:r>
        <w:rPr>
          <w:rFonts w:ascii="Arial" w:cs="Arial" w:eastAsia="Arial" w:hAnsi="Arial"/>
          <w:sz w:val="17"/>
          <w:szCs w:val="17"/>
          <w:u w:val="single" w:color="auto"/>
          <w:color w:val="auto"/>
        </w:rPr>
        <w:t>Agent</w:t>
      </w:r>
      <w:r>
        <w:rPr>
          <w:rFonts w:ascii="Arial" w:cs="Arial" w:eastAsia="Arial" w:hAnsi="Arial"/>
          <w:sz w:val="17"/>
          <w:szCs w:val="17"/>
          <w:color w:val="auto"/>
        </w:rPr>
        <w:t>”) now at 122 East 42nd Street, 18th Floor, New York, NY 10168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82"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in any state or federal court of the United States (i) that is against (a) the Company, (b) the Depositary in its capacity as Depositary under the Deposit Agreement, or (c) both the Company and the Depositary, in any such case, and (ii) in which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with respect to any such claim. The Company agrees that service of process upon the Agent in the manner set forth in the preceding paragraph shall be effective service upon it for any suit, action or proceeding brought against it as described in this paragraph. For the avoidance of doubt, the provisions of this paragraph are for the sole benefit of the Company and the Depositary, and shall not inure to the benefit of any Holder, Beneficial Owner, or any third party.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4" w:right="439" w:bottom="1440" w:gutter="0" w:footer="0" w:header="0"/>
        </w:sectPr>
      </w:pPr>
    </w:p>
    <w:bookmarkStart w:id="400" w:name="page401"/>
    <w:bookmarkEnd w:id="400"/>
    <w:p>
      <w:pPr>
        <w:ind w:right="2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88"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b w:val="1"/>
          <w:bCs w:val="1"/>
          <w:u w:val="single" w:color="auto"/>
          <w:color w:val="auto"/>
        </w:rPr>
        <w:t>Compliance with, and No Disclaimer under, U.S. Securities Laws</w:t>
      </w:r>
      <w:r>
        <w:rPr>
          <w:rFonts w:ascii="Arial" w:cs="Arial" w:eastAsia="Arial" w:hAnsi="Arial"/>
          <w:sz w:val="18"/>
          <w:szCs w:val="18"/>
          <w:color w:val="auto"/>
        </w:rPr>
        <w:t>.</w:t>
      </w:r>
    </w:p>
    <w:p>
      <w:pPr>
        <w:spacing w:after="0" w:line="121" w:lineRule="exact"/>
        <w:rPr>
          <w:sz w:val="20"/>
          <w:szCs w:val="20"/>
          <w:color w:val="auto"/>
        </w:rPr>
      </w:pPr>
    </w:p>
    <w:p>
      <w:pPr>
        <w:jc w:val="both"/>
        <w:ind w:right="80" w:firstLine="436"/>
        <w:spacing w:after="0" w:line="263" w:lineRule="auto"/>
        <w:tabs>
          <w:tab w:leader="none" w:pos="695"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75" w:lineRule="exact"/>
        <w:rPr>
          <w:rFonts w:ascii="Arial" w:cs="Arial" w:eastAsia="Arial" w:hAnsi="Arial"/>
          <w:sz w:val="18"/>
          <w:szCs w:val="18"/>
          <w:b w:val="1"/>
          <w:bCs w:val="1"/>
          <w:color w:val="auto"/>
        </w:rPr>
      </w:pPr>
    </w:p>
    <w:p>
      <w:pPr>
        <w:ind w:right="20" w:firstLine="436"/>
        <w:spacing w:after="0" w:line="263" w:lineRule="auto"/>
        <w:tabs>
          <w:tab w:leader="none" w:pos="705" w:val="left"/>
        </w:tabs>
        <w:numPr>
          <w:ilvl w:val="0"/>
          <w:numId w:val="256"/>
        </w:numPr>
        <w:rPr>
          <w:rFonts w:ascii="Arial" w:cs="Arial" w:eastAsia="Arial" w:hAnsi="Arial"/>
          <w:sz w:val="18"/>
          <w:szCs w:val="18"/>
          <w:b w:val="1"/>
          <w:bCs w:val="1"/>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40" w:top="274" w:right="499" w:bottom="1440" w:gutter="0" w:footer="0" w:header="0"/>
        </w:sectPr>
      </w:pPr>
    </w:p>
    <w:bookmarkStart w:id="401" w:name="page402"/>
    <w:bookmarkEnd w:id="401"/>
    <w:p>
      <w:pPr>
        <w:ind w:right="2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7.9 </w:t>
      </w:r>
      <w:r>
        <w:rPr>
          <w:rFonts w:ascii="Arial" w:cs="Arial" w:eastAsia="Arial" w:hAnsi="Arial"/>
          <w:sz w:val="18"/>
          <w:szCs w:val="18"/>
          <w:b w:val="1"/>
          <w:bCs w:val="1"/>
          <w:u w:val="single" w:color="auto"/>
          <w:color w:val="auto"/>
        </w:rPr>
        <w:t>Cayman Islands Law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Any summary of the laws and regulations of the Cayman Islands and of the terms of the Articles</w:t>
      </w:r>
      <w:r>
        <w:rPr>
          <w:rFonts w:ascii="Arial" w:cs="Arial" w:eastAsia="Arial" w:hAnsi="Arial"/>
          <w:sz w:val="18"/>
          <w:szCs w:val="18"/>
          <w:b w:val="1"/>
          <w:bCs w:val="1"/>
          <w:color w:val="auto"/>
        </w:rPr>
        <w:t xml:space="preserve"> </w:t>
      </w:r>
      <w:r>
        <w:rPr>
          <w:rFonts w:ascii="Arial" w:cs="Arial" w:eastAsia="Arial" w:hAnsi="Arial"/>
          <w:sz w:val="18"/>
          <w:szCs w:val="18"/>
          <w:color w:val="auto"/>
        </w:rPr>
        <w:t>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Articles of Association may change after the date of the Deposit Agreement. Neither the Depositary nor the Company has any obligation under the terms of the Deposit Agreement to update any such summaries.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b w:val="1"/>
          <w:bCs w:val="1"/>
          <w:u w:val="single" w:color="auto"/>
          <w:color w:val="auto"/>
        </w:rPr>
        <w:t>Titles and References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1" w:lineRule="auto"/>
        <w:tabs>
          <w:tab w:leader="none" w:pos="695"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the Deposit Agreement to exhibits, articles, sections, subsections, and other subdivisions refer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65" w:lineRule="exact"/>
        <w:rPr>
          <w:rFonts w:ascii="Arial" w:cs="Arial" w:eastAsia="Arial" w:hAnsi="Arial"/>
          <w:sz w:val="17"/>
          <w:szCs w:val="17"/>
          <w:b w:val="1"/>
          <w:bCs w:val="1"/>
          <w:color w:val="auto"/>
        </w:rPr>
      </w:pPr>
    </w:p>
    <w:p>
      <w:pPr>
        <w:ind w:right="20" w:firstLine="436"/>
        <w:spacing w:after="0" w:line="271" w:lineRule="auto"/>
        <w:tabs>
          <w:tab w:leader="none" w:pos="705"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any ADR(s) to paragraphs, exhibits, articles, sections, subsections, and other subdivisions refer to the paragraphs,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0" w:right="439" w:bottom="1440" w:gutter="0" w:footer="0" w:header="0"/>
        </w:sectPr>
      </w:pPr>
    </w:p>
    <w:bookmarkStart w:id="402" w:name="page403"/>
    <w:bookmarkEnd w:id="402"/>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AIHUISHOU INTERNATIONAL CO. LTD.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AIHUISHOU INTERNATIONAL CO.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Deposit Agreement]</w:t>
      </w:r>
    </w:p>
    <w:p>
      <w:pPr>
        <w:sectPr>
          <w:pgSz w:w="11900" w:h="16838" w:orient="portrait"/>
          <w:cols w:equalWidth="0" w:num="1">
            <w:col w:w="10880"/>
          </w:cols>
          <w:pgMar w:left="440" w:top="274" w:right="57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ADR]</w:t>
      </w:r>
    </w:p>
    <w:p>
      <w:pPr>
        <w:spacing w:after="0" w:line="256" w:lineRule="exact"/>
        <w:rPr>
          <w:sz w:val="20"/>
          <w:szCs w:val="20"/>
          <w:color w:val="auto"/>
        </w:rPr>
      </w:pPr>
    </w:p>
    <w:p>
      <w:pPr>
        <w:spacing w:after="0"/>
        <w:tabs>
          <w:tab w:leader="none" w:pos="8940" w:val="left"/>
        </w:tabs>
        <w:rPr>
          <w:sz w:val="20"/>
          <w:szCs w:val="20"/>
          <w:color w:val="auto"/>
        </w:rPr>
      </w:pPr>
      <w:r>
        <w:rPr>
          <w:rFonts w:ascii="Arial" w:cs="Arial" w:eastAsia="Arial" w:hAnsi="Arial"/>
          <w:sz w:val="16"/>
          <w:szCs w:val="16"/>
          <w:color w:val="auto"/>
        </w:rPr>
        <w:t>Number</w:t>
      </w:r>
      <w:r>
        <w:rPr>
          <w:sz w:val="20"/>
          <w:szCs w:val="20"/>
          <w:color w:val="auto"/>
        </w:rPr>
        <w:tab/>
      </w:r>
      <w:r>
        <w:rPr>
          <w:rFonts w:ascii="Arial" w:cs="Arial" w:eastAsia="Arial" w:hAnsi="Arial"/>
          <w:sz w:val="16"/>
          <w:szCs w:val="16"/>
          <w:color w:val="auto"/>
        </w:rPr>
        <w:t>CUSIP NUMBER: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57150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2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American Depositary Shares (each</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American Depositary Share</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representing the right to receive</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 xml:space="preserve">[number of shares] </w:t>
      </w:r>
      <w:r>
        <w:rPr>
          <w:rFonts w:ascii="Arial" w:cs="Arial" w:eastAsia="Arial" w:hAnsi="Arial"/>
          <w:sz w:val="16"/>
          <w:szCs w:val="16"/>
          <w:color w:val="auto"/>
        </w:rPr>
        <w:t>fully paid Class A</w:t>
      </w:r>
    </w:p>
    <w:p>
      <w:pPr>
        <w:spacing w:after="0" w:line="3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ordinary share[</w:t>
      </w:r>
      <w:r>
        <w:rPr>
          <w:rFonts w:ascii="Arial" w:cs="Arial" w:eastAsia="Arial" w:hAnsi="Arial"/>
          <w:sz w:val="18"/>
          <w:szCs w:val="18"/>
          <w:b w:val="1"/>
          <w:bCs w:val="1"/>
          <w:color w:val="auto"/>
        </w:rPr>
        <w:t>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DEPOSITED CLASS A ORDINARY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AIHUISHOU INTERNATIONAL CO.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Cayman Islands)</w:t>
      </w:r>
    </w:p>
    <w:p>
      <w:pPr>
        <w:spacing w:after="0" w:line="225" w:lineRule="exact"/>
        <w:rPr>
          <w:sz w:val="20"/>
          <w:szCs w:val="20"/>
          <w:color w:val="auto"/>
        </w:rPr>
      </w:pPr>
    </w:p>
    <w:p>
      <w:pPr>
        <w:ind w:right="340" w:firstLine="440"/>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ind w:right="40"/>
        <w:spacing w:after="0" w:line="252" w:lineRule="auto"/>
        <w:rPr>
          <w:sz w:val="20"/>
          <w:szCs w:val="20"/>
          <w:color w:val="auto"/>
        </w:rPr>
      </w:pPr>
      <w:r>
        <w:rPr>
          <w:rFonts w:ascii="Arial" w:cs="Arial" w:eastAsia="Arial" w:hAnsi="Arial"/>
          <w:sz w:val="18"/>
          <w:szCs w:val="18"/>
          <w:color w:val="auto"/>
        </w:rPr>
        <w:t xml:space="preserve">deposited Class A ordinary shares, including evidence of rights to receive such Class A ordinary shares (the “Shares”), of AiHuiShou International Co. Ltd., an exempted company incorporated with limited liability under the laws of the Cayman Islands, and its successors (the “Company”). As of the date of issuance of this ADR, each ADS represents the right to receive </w:t>
      </w:r>
      <w:r>
        <w:rPr>
          <w:rFonts w:ascii="Arial" w:cs="Arial" w:eastAsia="Arial" w:hAnsi="Arial"/>
          <w:sz w:val="18"/>
          <w:szCs w:val="18"/>
          <w:b w:val="1"/>
          <w:bCs w:val="1"/>
          <w:color w:val="auto"/>
        </w:rPr>
        <w:t>[number of shares]</w:t>
      </w:r>
      <w:r>
        <w:rPr>
          <w:rFonts w:ascii="Arial" w:cs="Arial" w:eastAsia="Arial" w:hAnsi="Arial"/>
          <w:sz w:val="18"/>
          <w:szCs w:val="18"/>
          <w:color w:val="auto"/>
        </w:rPr>
        <w:t xml:space="preserve"> Share[</w:t>
      </w:r>
      <w:r>
        <w:rPr>
          <w:rFonts w:ascii="Arial" w:cs="Arial" w:eastAsia="Arial" w:hAnsi="Arial"/>
          <w:sz w:val="18"/>
          <w:szCs w:val="18"/>
          <w:b w:val="1"/>
          <w:bCs w:val="1"/>
          <w:color w:val="auto"/>
        </w:rPr>
        <w:t>s</w:t>
      </w:r>
      <w:r>
        <w:rPr>
          <w:rFonts w:ascii="Arial" w:cs="Arial" w:eastAsia="Arial" w:hAnsi="Arial"/>
          <w:sz w:val="18"/>
          <w:szCs w:val="18"/>
          <w:color w:val="auto"/>
        </w:rPr>
        <w:t>]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404" w:name="page405"/>
    <w:bookmarkEnd w:id="404"/>
    <w:p>
      <w:pPr>
        <w:ind w:firstLine="436"/>
        <w:spacing w:after="0" w:line="286" w:lineRule="auto"/>
        <w:tabs>
          <w:tab w:leader="none" w:pos="695" w:val="left"/>
        </w:tabs>
        <w:numPr>
          <w:ilvl w:val="0"/>
          <w:numId w:val="2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American Depositary Receipt is one of an issue of American Depositary Receipts (“ADRs”), all issued and to</w:t>
      </w:r>
      <w:r>
        <w:rPr>
          <w:rFonts w:ascii="Arial" w:cs="Arial" w:eastAsia="Arial" w:hAnsi="Arial"/>
          <w:sz w:val="16"/>
          <w:szCs w:val="16"/>
          <w:b w:val="1"/>
          <w:bCs w:val="1"/>
          <w:color w:val="auto"/>
        </w:rPr>
        <w:t xml:space="preserve"> </w:t>
      </w:r>
      <w:r>
        <w:rPr>
          <w:rFonts w:ascii="Arial" w:cs="Arial" w:eastAsia="Arial" w:hAnsi="Arial"/>
          <w:sz w:val="16"/>
          <w:szCs w:val="16"/>
          <w:color w:val="auto"/>
        </w:rPr>
        <w:t>be issued upon the terms and conditions set forth in the Deposit Agreement, dated as of [•] 2021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7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(as in effect on the date of the signing of the Deposit Agreement) and are qualified by and subject to the detailed provisions of the Deposit Agreement and the Articles of Association, to which reference is hereby made.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right="40" w:firstLine="436"/>
        <w:spacing w:after="0" w:line="287" w:lineRule="auto"/>
        <w:tabs>
          <w:tab w:leader="none" w:pos="695" w:val="left"/>
        </w:tabs>
        <w:numPr>
          <w:ilvl w:val="0"/>
          <w:numId w:val="2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 entitled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this ADR evidencing the surrendered ADSs, of the Deposit Agreement, of the Articles of Association, and of any applicable laws and the rules of the applicable book-entry settlement entity, and to any provisions of or governing the Deposited Securities, in each case as in effect at the time thereof.</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0" w:right="479" w:bottom="1440" w:gutter="0" w:footer="0" w:header="0"/>
        </w:sectPr>
      </w:pPr>
    </w:p>
    <w:bookmarkStart w:id="405" w:name="page406"/>
    <w:bookmarkEnd w:id="405"/>
    <w:p>
      <w:pPr>
        <w:ind w:right="8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Deposit Agreement, of this ADR evidencing the ADS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6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92"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40"/>
          </w:cols>
          <w:pgMar w:left="440" w:top="274" w:right="519" w:bottom="1440" w:gutter="0" w:footer="0" w:header="0"/>
        </w:sectPr>
      </w:pPr>
    </w:p>
    <w:bookmarkStart w:id="406" w:name="page407"/>
    <w:bookmarkEnd w:id="406"/>
    <w:p>
      <w:pPr>
        <w:ind w:firstLine="436"/>
        <w:spacing w:after="0" w:line="289" w:lineRule="auto"/>
        <w:tabs>
          <w:tab w:leader="none" w:pos="695" w:val="left"/>
        </w:tabs>
        <w:numPr>
          <w:ilvl w:val="0"/>
          <w:numId w:val="2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this ADR (and of the ADSs represented hereby)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Agreement and of applicable law, in each case as in effect at the time thereof.</w:t>
      </w:r>
    </w:p>
    <w:p>
      <w:pPr>
        <w:spacing w:after="0" w:line="16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of the Deposit Agreement and of applicable law, in each case as in effect at the time thereof.</w:t>
      </w:r>
    </w:p>
    <w:p>
      <w:pPr>
        <w:spacing w:after="0" w:line="174" w:lineRule="exact"/>
        <w:rPr>
          <w:sz w:val="20"/>
          <w:szCs w:val="20"/>
          <w:color w:val="auto"/>
        </w:rPr>
      </w:pPr>
    </w:p>
    <w:p>
      <w:pPr>
        <w:ind w:right="20" w:firstLine="436"/>
        <w:spacing w:after="0" w:line="289" w:lineRule="auto"/>
        <w:tabs>
          <w:tab w:leader="none" w:pos="695" w:val="left"/>
        </w:tabs>
        <w:numPr>
          <w:ilvl w:val="0"/>
          <w:numId w:val="2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Pre-Conditions to Registration, Transfer, Etc</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0" w:right="459" w:bottom="1440" w:gutter="0" w:footer="0" w:header="0"/>
        </w:sectPr>
      </w:pPr>
    </w:p>
    <w:bookmarkStart w:id="407" w:name="page408"/>
    <w:bookmarkEnd w:id="407"/>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(whereupon the Depositary shall use reasonable effects to notify the Company in writing)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7.8(a)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w:t>
      </w:r>
    </w:p>
    <w:p>
      <w:pPr>
        <w:spacing w:after="0" w:line="4" w:lineRule="exact"/>
        <w:rPr>
          <w:sz w:val="20"/>
          <w:szCs w:val="20"/>
          <w:color w:val="auto"/>
        </w:rPr>
      </w:pPr>
    </w:p>
    <w:p>
      <w:pPr>
        <w:ind w:left="324" w:hanging="324"/>
        <w:spacing w:after="0"/>
        <w:tabs>
          <w:tab w:leader="none" w:pos="32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compliance with any U.S. or foreign laws or governmental regulations relating to the ADSs or to the withdrawal of the Deposited Securities, and</w:t>
      </w:r>
    </w:p>
    <w:p>
      <w:pPr>
        <w:spacing w:after="0" w:line="32" w:lineRule="exact"/>
        <w:rPr>
          <w:rFonts w:ascii="Arial" w:cs="Arial" w:eastAsia="Arial" w:hAnsi="Arial"/>
          <w:sz w:val="16"/>
          <w:szCs w:val="16"/>
          <w:color w:val="auto"/>
        </w:rPr>
      </w:pPr>
    </w:p>
    <w:p>
      <w:pPr>
        <w:ind w:left="4" w:right="220" w:hanging="4"/>
        <w:spacing w:after="0" w:line="260" w:lineRule="auto"/>
        <w:tabs>
          <w:tab w:leader="none" w:pos="309"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other circumstances specifically contemplated by Instruction I.A.(l) of the General Instructions to Form F-6 (as such General Instructions may be amended from time to time) under the Securities Act.</w:t>
      </w:r>
    </w:p>
    <w:p>
      <w:pPr>
        <w:spacing w:after="0" w:line="181" w:lineRule="exact"/>
        <w:rPr>
          <w:rFonts w:ascii="Arial" w:cs="Arial" w:eastAsia="Arial" w:hAnsi="Arial"/>
          <w:sz w:val="18"/>
          <w:szCs w:val="18"/>
          <w:color w:val="auto"/>
        </w:rPr>
      </w:pPr>
    </w:p>
    <w:p>
      <w:pPr>
        <w:ind w:left="4" w:right="160" w:firstLine="436"/>
        <w:spacing w:after="0" w:line="291" w:lineRule="auto"/>
        <w:tabs>
          <w:tab w:leader="none" w:pos="699" w:val="left"/>
        </w:tabs>
        <w:numPr>
          <w:ilvl w:val="1"/>
          <w:numId w:val="2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 Owner of the ADSs represented hereby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59" w:lineRule="exact"/>
        <w:rPr>
          <w:rFonts w:ascii="Arial" w:cs="Arial" w:eastAsia="Arial" w:hAnsi="Arial"/>
          <w:sz w:val="16"/>
          <w:szCs w:val="16"/>
          <w:b w:val="1"/>
          <w:bCs w:val="1"/>
          <w:color w:val="auto"/>
        </w:rPr>
      </w:pPr>
    </w:p>
    <w:p>
      <w:pPr>
        <w:ind w:left="4" w:firstLine="436"/>
        <w:spacing w:after="0" w:line="270" w:lineRule="auto"/>
        <w:tabs>
          <w:tab w:leader="none" w:pos="699" w:val="left"/>
        </w:tabs>
        <w:numPr>
          <w:ilvl w:val="1"/>
          <w:numId w:val="2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this ADR or of the Deposit Agreement to the contrary,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restrict transfers of the Shares where such transfer might result in ownership of Shares exceeding limits imposed by applicable law or the Articles of Association.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Nothing herein or in the Deposit Agreement shall be interpreted as obligating the Depositary or the Company to ensure compliance with the ownership restrictions described herein or in Section 3.5 of the Deposit Agreement.</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984"/>
          </w:cols>
          <w:pgMar w:left="436" w:top="274" w:right="479" w:bottom="1440" w:gutter="0" w:footer="0" w:header="0"/>
        </w:sectPr>
      </w:pPr>
    </w:p>
    <w:bookmarkStart w:id="408" w:name="page409"/>
    <w:bookmarkEnd w:id="408"/>
    <w:p>
      <w:pPr>
        <w:ind w:left="4" w:firstLine="436"/>
        <w:spacing w:after="0" w:line="273" w:lineRule="auto"/>
        <w:tabs>
          <w:tab w:leader="none" w:pos="699" w:val="left"/>
        </w:tabs>
        <w:numPr>
          <w:ilvl w:val="1"/>
          <w:numId w:val="2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1" w:lineRule="exact"/>
        <w:rPr>
          <w:rFonts w:ascii="Arial" w:cs="Arial" w:eastAsia="Arial" w:hAnsi="Arial"/>
          <w:sz w:val="17"/>
          <w:szCs w:val="17"/>
          <w:b w:val="1"/>
          <w:bCs w:val="1"/>
          <w:color w:val="auto"/>
        </w:rPr>
      </w:pPr>
    </w:p>
    <w:p>
      <w:pPr>
        <w:ind w:left="4" w:right="20" w:firstLine="436"/>
        <w:spacing w:after="0" w:line="286" w:lineRule="auto"/>
        <w:tabs>
          <w:tab w:leader="none" w:pos="699" w:val="left"/>
        </w:tabs>
        <w:numPr>
          <w:ilvl w:val="1"/>
          <w:numId w:val="2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directors,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this ADR, the obligations of Holders and Beneficial Owners under paragraph (8) and Section 3.2 of the Deposit Agreement shall survive any transfer of ADSs, any cancellation of ADSs and withdrawal of Deposited Securities, and the termination of the Deposit Agreement.</w:t>
      </w:r>
    </w:p>
    <w:p>
      <w:pPr>
        <w:spacing w:after="0" w:line="167" w:lineRule="exact"/>
        <w:rPr>
          <w:rFonts w:ascii="Arial" w:cs="Arial" w:eastAsia="Arial" w:hAnsi="Arial"/>
          <w:sz w:val="16"/>
          <w:szCs w:val="16"/>
          <w:b w:val="1"/>
          <w:bCs w:val="1"/>
          <w:color w:val="auto"/>
        </w:rPr>
      </w:pPr>
    </w:p>
    <w:p>
      <w:pPr>
        <w:ind w:left="4" w:right="420" w:firstLine="436"/>
        <w:spacing w:after="0" w:line="289" w:lineRule="auto"/>
        <w:tabs>
          <w:tab w:leader="none" w:pos="699" w:val="left"/>
        </w:tabs>
        <w:numPr>
          <w:ilvl w:val="1"/>
          <w:numId w:val="26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w:t>
      </w:r>
    </w:p>
    <w:p>
      <w:pPr>
        <w:spacing w:after="0" w:line="1" w:lineRule="exact"/>
        <w:rPr>
          <w:rFonts w:ascii="Arial" w:cs="Arial" w:eastAsia="Arial" w:hAnsi="Arial"/>
          <w:sz w:val="16"/>
          <w:szCs w:val="16"/>
          <w:b w:val="1"/>
          <w:bCs w:val="1"/>
          <w:color w:val="auto"/>
        </w:rPr>
      </w:pPr>
    </w:p>
    <w:p>
      <w:pPr>
        <w:ind w:left="4" w:right="80" w:hanging="4"/>
        <w:spacing w:after="0" w:line="252" w:lineRule="auto"/>
        <w:tabs>
          <w:tab w:leader="none" w:pos="31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964"/>
          </w:cols>
          <w:pgMar w:left="436" w:top="270" w:right="499" w:bottom="1440" w:gutter="0" w:footer="0" w:header="0"/>
        </w:sectPr>
      </w:pPr>
    </w:p>
    <w:bookmarkStart w:id="409" w:name="page410"/>
    <w:bookmarkEnd w:id="409"/>
    <w:p>
      <w:pPr>
        <w:ind w:firstLine="436"/>
        <w:spacing w:after="0" w:line="267" w:lineRule="auto"/>
        <w:tabs>
          <w:tab w:leader="none" w:pos="785" w:val="left"/>
        </w:tabs>
        <w:numPr>
          <w:ilvl w:val="0"/>
          <w:numId w:val="26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Proofs, Certificates and Other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presenting Shares for deposit, any Holder and any Beneficial Owner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the terms of paragraph (25) and Section 7.8(a)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contained in this paragraph (10) or Section 3.1 of the Deposit Agreement shall obligate the Depositary to (i) obtain any information for the Company if not provided by the Holders or Beneficial Owners, or (ii) verify or vouch for the accuracy of the information so provided by the Holders or Beneficial Owners.</w:t>
      </w:r>
    </w:p>
    <w:p>
      <w:pPr>
        <w:spacing w:after="0" w:line="188" w:lineRule="exact"/>
        <w:rPr>
          <w:rFonts w:ascii="Arial" w:cs="Arial" w:eastAsia="Arial" w:hAnsi="Arial"/>
          <w:sz w:val="17"/>
          <w:szCs w:val="17"/>
          <w:b w:val="1"/>
          <w:bCs w:val="1"/>
          <w:color w:val="auto"/>
        </w:rPr>
      </w:pPr>
    </w:p>
    <w:p>
      <w:pPr>
        <w:ind w:left="780" w:hanging="344"/>
        <w:spacing w:after="0"/>
        <w:tabs>
          <w:tab w:leader="none" w:pos="78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ADS fees are payable under the terms of the Deposit Agreement:</w:t>
      </w:r>
    </w:p>
    <w:p>
      <w:pPr>
        <w:spacing w:after="0" w:line="134" w:lineRule="exact"/>
        <w:rPr>
          <w:rFonts w:ascii="Arial" w:cs="Arial" w:eastAsia="Arial" w:hAnsi="Arial"/>
          <w:sz w:val="18"/>
          <w:szCs w:val="18"/>
          <w:b w:val="1"/>
          <w:bCs w:val="1"/>
          <w:color w:val="auto"/>
        </w:rPr>
      </w:pPr>
    </w:p>
    <w:p>
      <w:pPr>
        <w:ind w:left="1420" w:right="80" w:hanging="439"/>
        <w:spacing w:after="0" w:line="311" w:lineRule="auto"/>
        <w:tabs>
          <w:tab w:leader="none" w:pos="1420"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ADS Issuance Fee</w:t>
      </w:r>
      <w:r>
        <w:rPr>
          <w:rFonts w:ascii="Arial" w:cs="Arial" w:eastAsia="Arial" w:hAnsi="Arial"/>
          <w:sz w:val="16"/>
          <w:szCs w:val="16"/>
          <w:color w:val="auto"/>
        </w:rPr>
        <w:t>: by any person for whom ADSs are issued (</w:t>
      </w:r>
      <w:r>
        <w:rPr>
          <w:rFonts w:ascii="Arial" w:cs="Arial" w:eastAsia="Arial" w:hAnsi="Arial"/>
          <w:sz w:val="16"/>
          <w:szCs w:val="16"/>
          <w:i w:val="1"/>
          <w:iCs w:val="1"/>
          <w:color w:val="auto"/>
        </w:rPr>
        <w:t>e.g.</w:t>
      </w:r>
      <w:r>
        <w:rPr>
          <w:rFonts w:ascii="Arial" w:cs="Arial" w:eastAsia="Arial" w:hAnsi="Arial"/>
          <w:sz w:val="16"/>
          <w:szCs w:val="16"/>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0"/>
          </w:cols>
          <w:pgMar w:left="440" w:top="270" w:right="459" w:bottom="1440" w:gutter="0" w:footer="0" w:header="0"/>
        </w:sectPr>
      </w:pPr>
    </w:p>
    <w:bookmarkStart w:id="410" w:name="page411"/>
    <w:bookmarkEnd w:id="410"/>
    <w:p>
      <w:pPr>
        <w:ind w:left="1420" w:right="180" w:hanging="439"/>
        <w:spacing w:after="0" w:line="263" w:lineRule="auto"/>
        <w:tabs>
          <w:tab w:leader="none" w:pos="142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ADS Cancellation Fee</w:t>
      </w:r>
      <w:r>
        <w:rPr>
          <w:rFonts w:ascii="Arial" w:cs="Arial" w:eastAsia="Arial" w:hAnsi="Arial"/>
          <w:sz w:val="18"/>
          <w:szCs w:val="18"/>
          <w:color w:val="auto"/>
        </w:rPr>
        <w:t>: by any person for whom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89" w:lineRule="exact"/>
        <w:rPr>
          <w:rFonts w:ascii="Arial" w:cs="Arial" w:eastAsia="Arial" w:hAnsi="Arial"/>
          <w:sz w:val="18"/>
          <w:szCs w:val="18"/>
          <w:color w:val="auto"/>
        </w:rPr>
      </w:pPr>
    </w:p>
    <w:p>
      <w:pPr>
        <w:ind w:left="1420" w:right="380" w:hanging="439"/>
        <w:spacing w:after="0" w:line="308" w:lineRule="auto"/>
        <w:tabs>
          <w:tab w:leader="none" w:pos="1420"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 entitlements);</w:t>
      </w:r>
    </w:p>
    <w:p>
      <w:pPr>
        <w:spacing w:after="0" w:line="51" w:lineRule="exact"/>
        <w:rPr>
          <w:rFonts w:ascii="Arial" w:cs="Arial" w:eastAsia="Arial" w:hAnsi="Arial"/>
          <w:sz w:val="17"/>
          <w:szCs w:val="17"/>
          <w:color w:val="auto"/>
        </w:rPr>
      </w:pPr>
    </w:p>
    <w:p>
      <w:pPr>
        <w:ind w:left="1420" w:right="40" w:hanging="439"/>
        <w:spacing w:after="0" w:line="263" w:lineRule="auto"/>
        <w:tabs>
          <w:tab w:leader="none" w:pos="142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89" w:lineRule="exact"/>
        <w:rPr>
          <w:rFonts w:ascii="Arial" w:cs="Arial" w:eastAsia="Arial" w:hAnsi="Arial"/>
          <w:sz w:val="18"/>
          <w:szCs w:val="18"/>
          <w:color w:val="auto"/>
        </w:rPr>
      </w:pPr>
    </w:p>
    <w:p>
      <w:pPr>
        <w:ind w:left="1420" w:right="220" w:hanging="439"/>
        <w:spacing w:after="0" w:line="277" w:lineRule="auto"/>
        <w:tabs>
          <w:tab w:leader="none" w:pos="142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by any Holder of ADS(s), a fee not in excess of U.S. $5.00 per 100 ADSs (or fraction thereof) held for the distribution of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w:t>
      </w:r>
    </w:p>
    <w:p>
      <w:pPr>
        <w:spacing w:after="0" w:line="75" w:lineRule="exact"/>
        <w:rPr>
          <w:rFonts w:ascii="Arial" w:cs="Arial" w:eastAsia="Arial" w:hAnsi="Arial"/>
          <w:sz w:val="18"/>
          <w:szCs w:val="18"/>
          <w:color w:val="auto"/>
        </w:rPr>
      </w:pPr>
    </w:p>
    <w:p>
      <w:pPr>
        <w:ind w:left="1420" w:right="120" w:hanging="439"/>
        <w:spacing w:after="0" w:line="277" w:lineRule="auto"/>
        <w:tabs>
          <w:tab w:leader="none" w:pos="142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75" w:lineRule="exact"/>
        <w:rPr>
          <w:rFonts w:ascii="Arial" w:cs="Arial" w:eastAsia="Arial" w:hAnsi="Arial"/>
          <w:sz w:val="18"/>
          <w:szCs w:val="18"/>
          <w:color w:val="auto"/>
        </w:rPr>
      </w:pPr>
    </w:p>
    <w:p>
      <w:pPr>
        <w:ind w:left="1420" w:right="60" w:hanging="439"/>
        <w:spacing w:after="0" w:line="286" w:lineRule="auto"/>
        <w:tabs>
          <w:tab w:leader="none" w:pos="1420"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Registration of ADS Transfer Fee</w:t>
      </w:r>
      <w:r>
        <w:rPr>
          <w:rFonts w:ascii="Arial" w:cs="Arial" w:eastAsia="Arial" w:hAnsi="Arial"/>
          <w:sz w:val="17"/>
          <w:szCs w:val="17"/>
          <w:color w:val="auto"/>
        </w:rPr>
        <w:t xml:space="preserve">: by any Holder of ADS(s) being transferred or by any person to whom ADSs are transferred, a fee not in excess of U.S. $5.00 per 100 ADSs (or fraction thereof) transferred (e.g., upon a registration of the transfer of registered ownership of ADSs, upon a transfer of ADSs into DTC and </w:t>
      </w:r>
      <w:r>
        <w:rPr>
          <w:rFonts w:ascii="Arial" w:cs="Arial" w:eastAsia="Arial" w:hAnsi="Arial"/>
          <w:sz w:val="17"/>
          <w:szCs w:val="17"/>
          <w:i w:val="1"/>
          <w:iCs w:val="1"/>
          <w:color w:val="auto"/>
        </w:rPr>
        <w:t>vice versa</w:t>
      </w:r>
      <w:r>
        <w:rPr>
          <w:rFonts w:ascii="Arial" w:cs="Arial" w:eastAsia="Arial" w:hAnsi="Arial"/>
          <w:sz w:val="17"/>
          <w:szCs w:val="17"/>
          <w:color w:val="auto"/>
        </w:rPr>
        <w:t>, or for any other reason); and</w:t>
      </w:r>
    </w:p>
    <w:p>
      <w:pPr>
        <w:spacing w:after="0" w:line="70" w:lineRule="exact"/>
        <w:rPr>
          <w:rFonts w:ascii="Arial" w:cs="Arial" w:eastAsia="Arial" w:hAnsi="Arial"/>
          <w:sz w:val="17"/>
          <w:szCs w:val="17"/>
          <w:color w:val="auto"/>
        </w:rPr>
      </w:pPr>
    </w:p>
    <w:p>
      <w:pPr>
        <w:ind w:left="1420" w:right="100" w:hanging="439"/>
        <w:spacing w:after="0" w:line="259" w:lineRule="auto"/>
        <w:tabs>
          <w:tab w:leader="none" w:pos="142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ADS Conversion Fee</w:t>
      </w:r>
      <w:r>
        <w:rPr>
          <w:rFonts w:ascii="Arial" w:cs="Arial" w:eastAsia="Arial" w:hAnsi="Arial"/>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conversion of Partial Entitlement ADSs for Full Entitlement ADSs, or upon conversion of Restricted ADSs into freely transferrable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89" w:lineRule="exact"/>
        <w:rPr>
          <w:sz w:val="20"/>
          <w:szCs w:val="20"/>
          <w:color w:val="auto"/>
        </w:rPr>
      </w:pPr>
    </w:p>
    <w:p>
      <w:pPr>
        <w:ind w:left="5360" w:right="3620" w:hanging="4379"/>
        <w:spacing w:after="0" w:line="449" w:lineRule="auto"/>
        <w:tabs>
          <w:tab w:leader="none" w:pos="140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 A-8</w:t>
      </w:r>
    </w:p>
    <w:p>
      <w:pPr>
        <w:sectPr>
          <w:pgSz w:w="11900" w:h="16838" w:orient="portrait"/>
          <w:cols w:equalWidth="0" w:num="1">
            <w:col w:w="11000"/>
          </w:cols>
          <w:pgMar w:left="440" w:top="274" w:right="459" w:bottom="1440" w:gutter="0" w:footer="0" w:header="0"/>
        </w:sectPr>
      </w:pPr>
    </w:p>
    <w:bookmarkStart w:id="411" w:name="page412"/>
    <w:bookmarkEnd w:id="411"/>
    <w:p>
      <w:pPr>
        <w:jc w:val="both"/>
        <w:ind w:left="1420" w:right="200" w:hanging="439"/>
        <w:spacing w:after="0" w:line="263" w:lineRule="auto"/>
        <w:tabs>
          <w:tab w:leader="none" w:pos="14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420" w:right="200" w:hanging="439"/>
        <w:spacing w:after="0" w:line="342" w:lineRule="auto"/>
        <w:tabs>
          <w:tab w:leader="none" w:pos="142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29" w:lineRule="exact"/>
        <w:rPr>
          <w:rFonts w:ascii="Arial" w:cs="Arial" w:eastAsia="Arial" w:hAnsi="Arial"/>
          <w:sz w:val="16"/>
          <w:szCs w:val="16"/>
          <w:color w:val="auto"/>
        </w:rPr>
      </w:pPr>
    </w:p>
    <w:p>
      <w:pPr>
        <w:ind w:left="1420" w:right="60" w:hanging="439"/>
        <w:spacing w:after="0" w:line="263" w:lineRule="auto"/>
        <w:tabs>
          <w:tab w:leader="none" w:pos="14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89" w:lineRule="exact"/>
        <w:rPr>
          <w:rFonts w:ascii="Arial" w:cs="Arial" w:eastAsia="Arial" w:hAnsi="Arial"/>
          <w:sz w:val="18"/>
          <w:szCs w:val="18"/>
          <w:color w:val="auto"/>
        </w:rPr>
      </w:pPr>
    </w:p>
    <w:p>
      <w:pPr>
        <w:ind w:left="1420" w:right="260" w:hanging="439"/>
        <w:spacing w:after="0" w:line="277" w:lineRule="auto"/>
        <w:tabs>
          <w:tab w:leader="none" w:pos="14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75" w:lineRule="exact"/>
        <w:rPr>
          <w:rFonts w:ascii="Arial" w:cs="Arial" w:eastAsia="Arial" w:hAnsi="Arial"/>
          <w:sz w:val="18"/>
          <w:szCs w:val="18"/>
          <w:color w:val="auto"/>
        </w:rPr>
      </w:pPr>
    </w:p>
    <w:p>
      <w:pPr>
        <w:ind w:left="1420" w:right="620" w:hanging="439"/>
        <w:spacing w:after="0" w:line="277" w:lineRule="auto"/>
        <w:tabs>
          <w:tab w:leader="none" w:pos="14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w:t>
      </w:r>
    </w:p>
    <w:p>
      <w:pPr>
        <w:spacing w:after="0" w:line="170"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All ADS fees and charges so payable may be deducted from distributions or must be remitted to the Depositary, or its designee, and may, at any time and from time to time, be changed by agreement between the Depositary and Company but, in the case of ADS fees and charges payable by Holders and Beneficial Owners, any such change may be made only in the manner contemplated by paragraph (23) of this ADR and as contemplated in Section 6.1 of the Deposit Agreement. The Depositary shall provide, without charge, a copy of its latest ADS fee schedule to anyone upon request.</w:t>
      </w:r>
    </w:p>
    <w:p>
      <w:pPr>
        <w:spacing w:after="0" w:line="15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00"/>
          </w:cols>
          <w:pgMar w:left="440" w:top="274" w:right="459" w:bottom="1440" w:gutter="0" w:footer="0" w:header="0"/>
        </w:sectPr>
      </w:pPr>
    </w:p>
    <w:bookmarkStart w:id="412" w:name="page413"/>
    <w:bookmarkEnd w:id="412"/>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1" w:lineRule="exact"/>
        <w:rPr>
          <w:sz w:val="20"/>
          <w:szCs w:val="20"/>
          <w:color w:val="auto"/>
        </w:rPr>
      </w:pPr>
    </w:p>
    <w:p>
      <w:pPr>
        <w:ind w:right="120" w:firstLine="436"/>
        <w:spacing w:after="0" w:line="271" w:lineRule="auto"/>
        <w:tabs>
          <w:tab w:leader="none" w:pos="785"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020"/>
          </w:cols>
          <w:pgMar w:left="440" w:top="274" w:right="439" w:bottom="1440" w:gutter="0" w:footer="0" w:header="0"/>
        </w:sectPr>
      </w:pPr>
    </w:p>
    <w:bookmarkStart w:id="413" w:name="page414"/>
    <w:bookmarkEnd w:id="413"/>
    <w:p>
      <w:pPr>
        <w:ind w:right="20" w:firstLine="436"/>
        <w:spacing w:after="0" w:line="273" w:lineRule="auto"/>
        <w:tabs>
          <w:tab w:leader="none" w:pos="785"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Validity of ADR</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this ADR (and the ADSs represented hereby) shall not be entitled to any benefits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71" w:lineRule="exact"/>
        <w:rPr>
          <w:rFonts w:ascii="Arial" w:cs="Arial" w:eastAsia="Arial" w:hAnsi="Arial"/>
          <w:sz w:val="17"/>
          <w:szCs w:val="17"/>
          <w:b w:val="1"/>
          <w:bCs w:val="1"/>
          <w:color w:val="auto"/>
        </w:rPr>
      </w:pPr>
    </w:p>
    <w:p>
      <w:pPr>
        <w:ind w:right="40" w:firstLine="436"/>
        <w:spacing w:after="0" w:line="272" w:lineRule="auto"/>
        <w:tabs>
          <w:tab w:leader="none" w:pos="785" w:val="left"/>
        </w:tabs>
        <w:numPr>
          <w:ilvl w:val="0"/>
          <w:numId w:val="27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Available Information; Reports; Inspection of Transfer Books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is subject to the periodic reporting requirements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76"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Dated:</w:t>
            </w:r>
          </w:p>
        </w:tc>
        <w:tc>
          <w:tcPr>
            <w:tcW w:w="96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45"/>
        </w:trPr>
        <w:tc>
          <w:tcPr>
            <w:tcW w:w="520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5820" w:type="dxa"/>
            <w:vAlign w:val="bottom"/>
            <w:gridSpan w:val="2"/>
          </w:tcPr>
          <w:p>
            <w:pPr>
              <w:ind w:left="540"/>
              <w:spacing w:after="0"/>
              <w:rPr>
                <w:sz w:val="20"/>
                <w:szCs w:val="20"/>
                <w:color w:val="auto"/>
              </w:rPr>
            </w:pPr>
            <w:r>
              <w:rPr>
                <w:rFonts w:ascii="Arial" w:cs="Arial" w:eastAsia="Arial" w:hAnsi="Arial"/>
                <w:sz w:val="18"/>
                <w:szCs w:val="18"/>
                <w:color w:val="auto"/>
              </w:rPr>
              <w:t>CITIBANK, N.A.</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Transfer Agent and Registrar</w:t>
            </w:r>
          </w:p>
        </w:tc>
        <w:tc>
          <w:tcPr>
            <w:tcW w:w="5820" w:type="dxa"/>
            <w:vAlign w:val="bottom"/>
            <w:gridSpan w:val="2"/>
          </w:tcPr>
          <w:p>
            <w:pPr>
              <w:ind w:left="540"/>
              <w:spacing w:after="0"/>
              <w:rPr>
                <w:sz w:val="20"/>
                <w:szCs w:val="20"/>
                <w:color w:val="auto"/>
              </w:rPr>
            </w:pPr>
            <w:r>
              <w:rPr>
                <w:rFonts w:ascii="Arial" w:cs="Arial" w:eastAsia="Arial" w:hAnsi="Arial"/>
                <w:sz w:val="18"/>
                <w:szCs w:val="18"/>
                <w:color w:val="auto"/>
              </w:rPr>
              <w:t>as Depositary</w:t>
            </w:r>
          </w:p>
        </w:tc>
      </w:tr>
      <w:tr>
        <w:trPr>
          <w:trHeight w:val="445"/>
        </w:trPr>
        <w:tc>
          <w:tcPr>
            <w:tcW w:w="5200" w:type="dxa"/>
            <w:vAlign w:val="bottom"/>
            <w:gridSpan w:val="2"/>
          </w:tcPr>
          <w:p>
            <w:pPr>
              <w:spacing w:after="0"/>
              <w:rPr>
                <w:sz w:val="20"/>
                <w:szCs w:val="20"/>
                <w:color w:val="auto"/>
              </w:rPr>
            </w:pPr>
            <w:r>
              <w:rPr>
                <w:rFonts w:ascii="Arial" w:cs="Arial" w:eastAsia="Arial" w:hAnsi="Arial"/>
                <w:sz w:val="18"/>
                <w:szCs w:val="18"/>
                <w:color w:val="auto"/>
              </w:rPr>
              <w:t>By:</w:t>
            </w:r>
          </w:p>
        </w:tc>
        <w:tc>
          <w:tcPr>
            <w:tcW w:w="5820" w:type="dxa"/>
            <w:vAlign w:val="bottom"/>
            <w:gridSpan w:val="2"/>
          </w:tcPr>
          <w:p>
            <w:pPr>
              <w:ind w:left="540"/>
              <w:spacing w:after="0"/>
              <w:rPr>
                <w:sz w:val="20"/>
                <w:szCs w:val="20"/>
                <w:color w:val="auto"/>
              </w:rPr>
            </w:pPr>
            <w:r>
              <w:rPr>
                <w:rFonts w:ascii="Arial" w:cs="Arial" w:eastAsia="Arial" w:hAnsi="Arial"/>
                <w:sz w:val="18"/>
                <w:szCs w:val="18"/>
                <w:color w:val="auto"/>
              </w:rPr>
              <w:t>By:</w:t>
            </w:r>
          </w:p>
        </w:tc>
      </w:tr>
      <w:tr>
        <w:trPr>
          <w:trHeight w:val="224"/>
        </w:trPr>
        <w:tc>
          <w:tcPr>
            <w:tcW w:w="460" w:type="dxa"/>
            <w:vAlign w:val="bottom"/>
          </w:tcPr>
          <w:p>
            <w:pPr>
              <w:spacing w:after="0"/>
              <w:rPr>
                <w:sz w:val="19"/>
                <w:szCs w:val="19"/>
                <w:color w:val="auto"/>
              </w:rPr>
            </w:pPr>
          </w:p>
        </w:tc>
        <w:tc>
          <w:tcPr>
            <w:tcW w:w="4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96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364"/>
        </w:trPr>
        <w:tc>
          <w:tcPr>
            <w:tcW w:w="4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820" w:type="dxa"/>
            <w:vAlign w:val="bottom"/>
            <w:gridSpan w:val="2"/>
          </w:tcPr>
          <w:p>
            <w:pPr>
              <w:ind w:left="120"/>
              <w:spacing w:after="0"/>
              <w:rPr>
                <w:sz w:val="20"/>
                <w:szCs w:val="20"/>
                <w:color w:val="auto"/>
              </w:rPr>
            </w:pPr>
            <w:r>
              <w:rPr>
                <w:rFonts w:ascii="Arial" w:cs="Arial" w:eastAsia="Arial" w:hAnsi="Arial"/>
                <w:sz w:val="18"/>
                <w:szCs w:val="18"/>
                <w:color w:val="auto"/>
              </w:rPr>
              <w:t>A-11</w:t>
            </w:r>
          </w:p>
        </w:tc>
      </w:tr>
    </w:tbl>
    <w:p>
      <w:pPr>
        <w:sectPr>
          <w:pgSz w:w="11900" w:h="16838" w:orient="portrait"/>
          <w:cols w:equalWidth="0" w:num="1">
            <w:col w:w="11020"/>
          </w:cols>
          <w:pgMar w:left="440" w:top="270" w:right="439" w:bottom="1440" w:gutter="0" w:footer="0" w:header="0"/>
        </w:sectPr>
      </w:pPr>
    </w:p>
    <w:bookmarkStart w:id="414" w:name="page415"/>
    <w:bookmarkEnd w:id="414"/>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address of the Principal Office of the Depositary is 388 Greenwich Street, New York, New York 10013, U.S.A.</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ectPr>
          <w:pgSz w:w="11900" w:h="16838" w:orient="portrait"/>
          <w:cols w:equalWidth="0" w:num="1">
            <w:col w:w="9019"/>
          </w:cols>
          <w:pgMar w:left="1440" w:top="274" w:right="1440" w:bottom="1440" w:gutter="0" w:footer="0" w:header="0"/>
          <w:type w:val="continuous"/>
        </w:sectPr>
      </w:pPr>
    </w:p>
    <w:bookmarkStart w:id="415" w:name="page416"/>
    <w:bookmarkEnd w:id="4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ADR]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07" w:lineRule="exact"/>
        <w:rPr>
          <w:sz w:val="20"/>
          <w:szCs w:val="20"/>
          <w:color w:val="auto"/>
        </w:rPr>
      </w:pPr>
    </w:p>
    <w:p>
      <w:pPr>
        <w:ind w:firstLine="436"/>
        <w:spacing w:after="0" w:line="284" w:lineRule="auto"/>
        <w:tabs>
          <w:tab w:leader="none" w:pos="785" w:val="left"/>
        </w:tabs>
        <w:numPr>
          <w:ilvl w:val="0"/>
          <w:numId w:val="27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Cash Distributions</w:t>
      </w:r>
      <w:r>
        <w:rPr>
          <w:rFonts w:ascii="Arial" w:cs="Arial" w:eastAsia="Arial" w:hAnsi="Arial"/>
          <w:sz w:val="16"/>
          <w:szCs w:val="16"/>
          <w:color w:val="auto"/>
        </w:rPr>
        <w:t>: Upon the timely receipt by the Depositary of a notice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that it intends to make a distribution of a cash 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on the conditions of Section 4.8 of the Deposit Agreement), (ii) if applicable and unless previously established, establish the ADS Record Date upon the terms described in Section 4.9 of the Deposit Agreement, and (iii) distribute promptly the amount thus received (net of (a) the applicable fees and charges set forth in the Fee Schedule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00"/>
          </w:cols>
          <w:pgMar w:left="440" w:top="270" w:right="459" w:bottom="1440" w:gutter="0" w:footer="0" w:header="0"/>
        </w:sectPr>
      </w:pPr>
    </w:p>
    <w:bookmarkStart w:id="416" w:name="page417"/>
    <w:bookmarkEnd w:id="416"/>
    <w:p>
      <w:pPr>
        <w:ind w:right="40" w:firstLine="436"/>
        <w:spacing w:after="0" w:line="287" w:lineRule="auto"/>
        <w:tabs>
          <w:tab w:leader="none" w:pos="695" w:val="left"/>
        </w:tabs>
        <w:numPr>
          <w:ilvl w:val="0"/>
          <w:numId w:val="272"/>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Distributions</w:t>
      </w:r>
      <w:r>
        <w:rPr>
          <w:rFonts w:ascii="Arial" w:cs="Arial" w:eastAsia="Arial" w:hAnsi="Arial"/>
          <w:sz w:val="16"/>
          <w:szCs w:val="16"/>
          <w:color w:val="auto"/>
        </w:rPr>
        <w:t>: Upon the timely receipt by the Depositary of a notice from the Company that it intends to make a distribution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event that the Depositary determines that any distribution in property (including Shares) is subject to any tax or other governmental charges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the Depositary is obligated to withhold, or, if the Company in the fulfillment of its obligations under Section 5.7 of the Deposit Agreement,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furnished an opinion of U.S. counsel determining that Shares must be registered under the Securities Act or other laws in order to be distributed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Holders (and no such registration statement has been declared effective), the Depositary may dispose of all or a portion of such property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and rights to subscribe therefor) in such amounts and in such manner, including by public or private sale, as the Depositary deems necessary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practicable, and the Depositary shall distribute the net proceeds of any such sale (after deduction of (a) taxes and (b) fees and charges of,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expenses incurred by, the Depositary) to Holders entitled thereto upon the terms of Section 4.1 of the Deposit Agreement. The Depositary shall hold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and/or distribute any unsold balance of such property in accordance with the provisions of the Deposit Agreement. Notwithstanding anything contained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Deposit Agreement to the contrary, in the event the Company fails to give the Depositary timely notice of the proposed distribution provided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Section 4.2 of the Deposit Agreement, the Depositary agrees to use commercially reasonable efforts to perform the actions contemplated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4.2 of the Deposit Agreement, and the Company, the Holders and the Beneficial Owners acknowledge that the Depositary shall have no liability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Depositary’s failure to perform the actions contemplated in Section 4.2 of the Deposit Agreement where such notice has not been so timely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given, other than its failure to use commercially reasonable efforts, as provided herein.</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0960"/>
          </w:cols>
          <w:pgMar w:left="440" w:top="274" w:right="499" w:bottom="1440" w:gutter="0" w:footer="0" w:header="0"/>
        </w:sectPr>
      </w:pPr>
    </w:p>
    <w:bookmarkStart w:id="417" w:name="page418"/>
    <w:bookmarkEnd w:id="417"/>
    <w:p>
      <w:pPr>
        <w:ind w:left="4" w:firstLine="436"/>
        <w:spacing w:after="0" w:line="284" w:lineRule="auto"/>
        <w:tabs>
          <w:tab w:leader="none" w:pos="689" w:val="left"/>
        </w:tabs>
        <w:numPr>
          <w:ilvl w:val="1"/>
          <w:numId w:val="273"/>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Elective Distributions in Cash or Shares</w:t>
      </w:r>
      <w:r>
        <w:rPr>
          <w:rFonts w:ascii="Arial" w:cs="Arial" w:eastAsia="Arial" w:hAnsi="Arial"/>
          <w:sz w:val="16"/>
          <w:szCs w:val="16"/>
          <w:color w:val="auto"/>
        </w:rPr>
        <w:t>: Upon the timely receipt of a notice indicating that the Company wishes an elective distribution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(17) and Section 4.9 of the Deposit Agreement and establish procedures to enable the Holder hereof to elect the receipt of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Holders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286" w:lineRule="exact"/>
        <w:rPr>
          <w:rFonts w:ascii="Arial" w:cs="Arial" w:eastAsia="Arial" w:hAnsi="Arial"/>
          <w:sz w:val="16"/>
          <w:szCs w:val="16"/>
          <w:color w:val="auto"/>
        </w:rPr>
      </w:pPr>
    </w:p>
    <w:p>
      <w:pPr>
        <w:ind w:left="4" w:right="120" w:firstLine="436"/>
        <w:spacing w:after="0" w:line="285" w:lineRule="auto"/>
        <w:tabs>
          <w:tab w:leader="none" w:pos="699" w:val="left"/>
        </w:tabs>
        <w:numPr>
          <w:ilvl w:val="1"/>
          <w:numId w:val="273"/>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 of Rights to Purchase Additional ADSs</w:t>
      </w:r>
      <w:r>
        <w:rPr>
          <w:rFonts w:ascii="Arial" w:cs="Arial" w:eastAsia="Arial" w:hAnsi="Arial"/>
          <w:sz w:val="16"/>
          <w:szCs w:val="16"/>
          <w:color w:val="auto"/>
        </w:rPr>
        <w:t>: Upon the timely receipt by the Depositary of a notice indicating that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wishes rights to subscribe for additional Shares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w:t>
      </w:r>
    </w:p>
    <w:p>
      <w:pPr>
        <w:spacing w:after="0" w:line="1" w:lineRule="exact"/>
        <w:rPr>
          <w:rFonts w:ascii="Arial" w:cs="Arial" w:eastAsia="Arial" w:hAnsi="Arial"/>
          <w:sz w:val="16"/>
          <w:szCs w:val="16"/>
          <w:color w:val="auto"/>
        </w:rPr>
      </w:pPr>
    </w:p>
    <w:p>
      <w:pPr>
        <w:ind w:left="4" w:hanging="4"/>
        <w:spacing w:after="0" w:line="281" w:lineRule="auto"/>
        <w:tabs>
          <w:tab w:leader="none" w:pos="319"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w:t>
      </w:r>
    </w:p>
    <w:p>
      <w:pPr>
        <w:spacing w:after="0" w:line="10" w:lineRule="exact"/>
        <w:rPr>
          <w:rFonts w:ascii="Arial" w:cs="Arial" w:eastAsia="Arial" w:hAnsi="Arial"/>
          <w:sz w:val="16"/>
          <w:szCs w:val="16"/>
          <w:color w:val="auto"/>
        </w:rPr>
      </w:pPr>
    </w:p>
    <w:p>
      <w:pPr>
        <w:ind w:left="4" w:right="580" w:hanging="4"/>
        <w:spacing w:after="0" w:line="260" w:lineRule="auto"/>
        <w:tabs>
          <w:tab w:leader="none" w:pos="26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any foreign exchange exposure or loss incurred in connection with such sale or exercise, or (iii) the content of any materials forwarded to the Holders on behalf of the Company in connection with the rights distribution.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04"/>
          </w:cols>
          <w:pgMar w:left="436" w:top="274" w:right="459" w:bottom="1440" w:gutter="0" w:footer="0" w:header="0"/>
        </w:sectPr>
      </w:pPr>
    </w:p>
    <w:bookmarkStart w:id="418" w:name="page419"/>
    <w:bookmarkEnd w:id="418"/>
    <w:p>
      <w:pPr>
        <w:ind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6" w:lineRule="exact"/>
        <w:rPr>
          <w:sz w:val="20"/>
          <w:szCs w:val="20"/>
          <w:color w:val="auto"/>
        </w:rPr>
      </w:pPr>
    </w:p>
    <w:p>
      <w:pPr>
        <w:jc w:val="both"/>
        <w:ind w:right="300" w:firstLine="440"/>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960"/>
          </w:cols>
          <w:pgMar w:left="440" w:top="274" w:right="499" w:bottom="1440" w:gutter="0" w:footer="0" w:header="0"/>
        </w:sectPr>
      </w:pPr>
    </w:p>
    <w:bookmarkStart w:id="419" w:name="page420"/>
    <w:bookmarkEnd w:id="419"/>
    <w:p>
      <w:pPr>
        <w:ind w:left="4" w:firstLine="436"/>
        <w:spacing w:after="0" w:line="288" w:lineRule="auto"/>
        <w:tabs>
          <w:tab w:leader="none" w:pos="689" w:val="left"/>
        </w:tabs>
        <w:numPr>
          <w:ilvl w:val="0"/>
          <w:numId w:val="276"/>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Distributions other than Cash, Shares or Rights to Purchase Shares</w:t>
      </w:r>
      <w:r>
        <w:rPr>
          <w:rFonts w:ascii="Arial" w:cs="Arial" w:eastAsia="Arial" w:hAnsi="Arial"/>
          <w:sz w:val="16"/>
          <w:szCs w:val="16"/>
          <w:color w:val="auto"/>
        </w:rPr>
        <w:t>: Upon receipt of a notice indicating that the Company wishes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68" w:lineRule="exact"/>
        <w:rPr>
          <w:sz w:val="20"/>
          <w:szCs w:val="20"/>
          <w:color w:val="auto"/>
        </w:rPr>
      </w:pPr>
    </w:p>
    <w:p>
      <w:pPr>
        <w:ind w:left="4" w:right="400" w:firstLine="440"/>
        <w:spacing w:after="0" w:line="291" w:lineRule="auto"/>
        <w:rPr>
          <w:sz w:val="20"/>
          <w:szCs w:val="20"/>
          <w:color w:val="auto"/>
        </w:rPr>
      </w:pPr>
      <w:r>
        <w:rPr>
          <w:rFonts w:ascii="Arial" w:cs="Arial" w:eastAsia="Arial" w:hAnsi="Arial"/>
          <w:sz w:val="16"/>
          <w:szCs w:val="16"/>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w:t>
      </w:r>
    </w:p>
    <w:p>
      <w:pPr>
        <w:ind w:left="4" w:right="120" w:hanging="4"/>
        <w:spacing w:after="0" w:line="253" w:lineRule="auto"/>
        <w:tabs>
          <w:tab w:leader="none" w:pos="26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distribute the proceeds of such conversion received by the Depositary (net of applicable (a) fees and charges of, and expenses incurred by, the Depositary and (b) taxes) to the Holders as of the ADS Record Date upon the terms hereof and Section 4.1 of the Deposit Agreement. If the Depositary is unable to sell such property, the Depositary may dispose of such property for the account of the Holders in any way it deems reasonably practicable under the circumstances.</w:t>
      </w:r>
    </w:p>
    <w:p>
      <w:pPr>
        <w:spacing w:after="0" w:line="193"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Neither the Depositary nor the Company shall be responsible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80" w:lineRule="exact"/>
        <w:rPr>
          <w:sz w:val="20"/>
          <w:szCs w:val="20"/>
          <w:color w:val="auto"/>
        </w:rPr>
      </w:pPr>
    </w:p>
    <w:p>
      <w:pPr>
        <w:ind w:left="4" w:firstLine="436"/>
        <w:spacing w:after="0" w:line="283" w:lineRule="auto"/>
        <w:tabs>
          <w:tab w:leader="none" w:pos="789" w:val="left"/>
        </w:tabs>
        <w:numPr>
          <w:ilvl w:val="0"/>
          <w:numId w:val="27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timely receipt of notice from the Company that it intends to exercise its right of redemption in respect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Securities, and satisfactory documentation, and only if the Depositary shall have determined that such proposed redemption is practicable, the Depositary shall provide to each Holder a notice setting forth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w:t>
      </w:r>
    </w:p>
    <w:p>
      <w:pPr>
        <w:spacing w:after="0" w:line="3" w:lineRule="exact"/>
        <w:rPr>
          <w:rFonts w:ascii="Arial" w:cs="Arial" w:eastAsia="Arial" w:hAnsi="Arial"/>
          <w:sz w:val="16"/>
          <w:szCs w:val="16"/>
          <w:b w:val="1"/>
          <w:bCs w:val="1"/>
          <w:color w:val="auto"/>
        </w:rPr>
      </w:pPr>
    </w:p>
    <w:p>
      <w:pPr>
        <w:ind w:left="4" w:right="22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Section 4.7 of the Deposit Agreement where such notice has not been so timely given, other than its failure to use commercially reasonable efforts, as provided herein.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004"/>
          </w:cols>
          <w:pgMar w:left="436" w:top="274" w:right="459" w:bottom="1440" w:gutter="0" w:footer="0" w:header="0"/>
        </w:sectPr>
      </w:pPr>
    </w:p>
    <w:bookmarkStart w:id="420" w:name="page421"/>
    <w:bookmarkEnd w:id="420"/>
    <w:p>
      <w:pPr>
        <w:ind w:firstLine="436"/>
        <w:spacing w:after="0" w:line="287" w:lineRule="auto"/>
        <w:tabs>
          <w:tab w:leader="none" w:pos="785" w:val="left"/>
        </w:tabs>
        <w:numPr>
          <w:ilvl w:val="0"/>
          <w:numId w:val="27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 Record</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the terms and conditions of this ADR and Sections 4.1 through 4.8 and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63" w:lineRule="exact"/>
        <w:rPr>
          <w:rFonts w:ascii="Arial" w:cs="Arial" w:eastAsia="Arial" w:hAnsi="Arial"/>
          <w:sz w:val="16"/>
          <w:szCs w:val="16"/>
          <w:b w:val="1"/>
          <w:bCs w:val="1"/>
          <w:color w:val="auto"/>
        </w:rPr>
      </w:pPr>
    </w:p>
    <w:p>
      <w:pPr>
        <w:ind w:firstLine="436"/>
        <w:spacing w:after="0" w:line="268" w:lineRule="auto"/>
        <w:tabs>
          <w:tab w:leader="none" w:pos="785" w:val="left"/>
        </w:tabs>
        <w:numPr>
          <w:ilvl w:val="0"/>
          <w:numId w:val="27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 Securities are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and timing in which such voting instructions may be given or deemed to have been given in accordance with Section 4.10 of the Deposit Agreement if no instructions are received prior to the deadline for such purposes to the Depositary to give a discretionary proxy to a person designated by the Company. Notwithstanding anything contained in the Deposit Agreement to the contrary, in the event the Company fails to timely request that the Depositary distribute the information as provided for in Section 4.10 of the Deposit Agreement, the Depositary agrees to use commercially reasonable efforts to perform the actions contemplated in Section 4.10 of the Deposit Agreement, and the Company, the Holders and the Beneficial Owners acknowledge that the Depositary shall have no liability for the Depositary’s failure to perform the actions contemplated in Section 4.10 of the Deposit Agreement where such notice has not been so timely given, other than its failure to use commercially reasonable efforts, as provided 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00"/>
          </w:cols>
          <w:pgMar w:left="440" w:top="270" w:right="459" w:bottom="1440" w:gutter="0" w:footer="0" w:header="0"/>
        </w:sectPr>
      </w:pPr>
    </w:p>
    <w:bookmarkStart w:id="421" w:name="page422"/>
    <w:bookmarkEnd w:id="421"/>
    <w:p>
      <w:pPr>
        <w:ind w:right="22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contained in the Deposit Agreement or this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e.g.</w:t>
      </w:r>
      <w:r>
        <w:rPr>
          <w:rFonts w:ascii="Arial" w:cs="Arial" w:eastAsia="Arial" w:hAnsi="Arial"/>
          <w:sz w:val="16"/>
          <w:szCs w:val="16"/>
          <w:color w:val="auto"/>
        </w:rPr>
        <w:t>, by reference to a website containing the materials for retrieval or a contact for requesting copies of the materials).</w:t>
      </w:r>
    </w:p>
    <w:p>
      <w:pPr>
        <w:spacing w:after="0" w:line="16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Depositary has been advised by the Company that under the Articles of Association as in effect on the date of the Deposit Agreement, voting at any meeting of shareholders of the Company is by show of hands unless a poll is (before or on the declaration of the result of the show of hands) demanded. The Depositary will not join in demanding a poll, whether or not requested to do so by Holders of ADSs. Under the Articles of Association as in effect on the date of the Deposit Agreement, a poll may be demanded by the chairman of the meeting or any shareholder holding not less than ten percent (10%) of the votes attaching to the Shares present at the meeting.</w:t>
      </w:r>
    </w:p>
    <w:p>
      <w:pPr>
        <w:spacing w:after="0" w:line="17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Arial" w:cs="Arial" w:eastAsia="Arial" w:hAnsi="Arial"/>
          <w:sz w:val="16"/>
          <w:szCs w:val="16"/>
          <w:i w:val="1"/>
          <w:iCs w:val="1"/>
          <w:color w:val="auto"/>
        </w:rPr>
        <w:t>in the event voting takes place at a shareholders’ meeting by a show of hands</w:t>
      </w:r>
      <w:r>
        <w:rPr>
          <w:rFonts w:ascii="Arial" w:cs="Arial" w:eastAsia="Arial" w:hAnsi="Arial"/>
          <w:sz w:val="16"/>
          <w:szCs w:val="16"/>
          <w:color w:val="auto"/>
        </w:rPr>
        <w:t xml:space="preserve">, the Depositary will instruct the Custodian to vote all Deposited Securities in accordance with the voting instructions received timely from a majority of Holders of ADSs who provided voting instructions, and (b) </w:t>
      </w:r>
      <w:r>
        <w:rPr>
          <w:rFonts w:ascii="Arial" w:cs="Arial" w:eastAsia="Arial" w:hAnsi="Arial"/>
          <w:sz w:val="16"/>
          <w:szCs w:val="16"/>
          <w:i w:val="1"/>
          <w:iCs w:val="1"/>
          <w:color w:val="auto"/>
        </w:rPr>
        <w:t>in the event voting takes place at a shareholders’ meeting by poll</w:t>
      </w:r>
      <w:r>
        <w:rPr>
          <w:rFonts w:ascii="Arial" w:cs="Arial" w:eastAsia="Arial" w:hAnsi="Arial"/>
          <w:sz w:val="16"/>
          <w:szCs w:val="16"/>
          <w:color w:val="auto"/>
        </w:rPr>
        <w:t xml:space="preserve">,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0920"/>
          </w:cols>
          <w:pgMar w:left="440" w:top="274" w:right="539" w:bottom="1440" w:gutter="0" w:footer="0" w:header="0"/>
        </w:sectPr>
      </w:pPr>
    </w:p>
    <w:bookmarkStart w:id="422" w:name="page423"/>
    <w:bookmarkEnd w:id="422"/>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otherwise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Notwithstanding anything to the contrary contained herein or in the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the Cayman Islands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000"/>
          </w:cols>
          <w:pgMar w:left="440" w:top="274" w:right="459" w:bottom="1440" w:gutter="0" w:footer="0" w:header="0"/>
        </w:sectPr>
      </w:pPr>
    </w:p>
    <w:bookmarkStart w:id="423" w:name="page424"/>
    <w:bookmarkEnd w:id="423"/>
    <w:p>
      <w:pPr>
        <w:ind w:firstLine="436"/>
        <w:spacing w:after="0" w:line="284" w:lineRule="auto"/>
        <w:tabs>
          <w:tab w:leader="none" w:pos="785" w:val="left"/>
        </w:tabs>
        <w:numPr>
          <w:ilvl w:val="0"/>
          <w:numId w:val="28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76" w:lineRule="exact"/>
        <w:rPr>
          <w:rFonts w:ascii="Arial" w:cs="Arial" w:eastAsia="Arial" w:hAnsi="Arial"/>
          <w:sz w:val="16"/>
          <w:szCs w:val="16"/>
          <w:b w:val="1"/>
          <w:bCs w:val="1"/>
          <w:color w:val="auto"/>
        </w:rPr>
      </w:pPr>
    </w:p>
    <w:p>
      <w:pPr>
        <w:ind w:firstLine="436"/>
        <w:spacing w:after="0" w:line="267" w:lineRule="auto"/>
        <w:tabs>
          <w:tab w:leader="none" w:pos="785" w:val="left"/>
        </w:tabs>
        <w:numPr>
          <w:ilvl w:val="0"/>
          <w:numId w:val="28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this ADR, neither the Depositary nor the Company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obligated to do or perform any act or thing which is inconsistent with the provisions of the Deposit Agreement or incur any liability (to the extent not limited by paragraph (25) hereof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circumstances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00"/>
          </w:cols>
          <w:pgMar w:left="440" w:top="270" w:right="459" w:bottom="1440" w:gutter="0" w:footer="0" w:header="0"/>
        </w:sectPr>
      </w:pPr>
    </w:p>
    <w:bookmarkStart w:id="424" w:name="page425"/>
    <w:bookmarkEnd w:id="424"/>
    <w:p>
      <w:pPr>
        <w:ind w:right="80" w:firstLine="436"/>
        <w:spacing w:after="0" w:line="254" w:lineRule="auto"/>
        <w:tabs>
          <w:tab w:leader="none" w:pos="785"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9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0980"/>
          </w:cols>
          <w:pgMar w:left="440" w:top="270" w:right="479" w:bottom="1440" w:gutter="0" w:footer="0" w:header="0"/>
        </w:sectPr>
      </w:pPr>
    </w:p>
    <w:bookmarkStart w:id="425" w:name="page426"/>
    <w:bookmarkEnd w:id="425"/>
    <w:p>
      <w:pPr>
        <w:jc w:val="both"/>
        <w:ind w:left="4"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left="4" w:right="320" w:firstLine="436"/>
        <w:spacing w:after="0" w:line="293" w:lineRule="auto"/>
        <w:tabs>
          <w:tab w:leader="none" w:pos="789" w:val="left"/>
        </w:tabs>
        <w:numPr>
          <w:ilvl w:val="1"/>
          <w:numId w:val="28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Deposit Agreement by written notice of resignation delivered to the Company, such resignation to be effective on the earlier of</w:t>
      </w:r>
    </w:p>
    <w:p>
      <w:pPr>
        <w:spacing w:after="0" w:line="1" w:lineRule="exact"/>
        <w:rPr>
          <w:rFonts w:ascii="Arial" w:cs="Arial" w:eastAsia="Arial" w:hAnsi="Arial"/>
          <w:sz w:val="16"/>
          <w:szCs w:val="16"/>
          <w:b w:val="1"/>
          <w:bCs w:val="1"/>
          <w:color w:val="auto"/>
        </w:rPr>
      </w:pPr>
    </w:p>
    <w:p>
      <w:pPr>
        <w:ind w:left="4" w:hanging="4"/>
        <w:spacing w:after="0" w:line="284" w:lineRule="auto"/>
        <w:tabs>
          <w:tab w:leader="none" w:pos="219"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commercially reasonable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004"/>
          </w:cols>
          <w:pgMar w:left="436" w:top="274" w:right="459" w:bottom="1440" w:gutter="0" w:footer="0" w:header="0"/>
        </w:sectPr>
      </w:pPr>
    </w:p>
    <w:bookmarkStart w:id="426" w:name="page427"/>
    <w:bookmarkEnd w:id="426"/>
    <w:p>
      <w:pPr>
        <w:ind w:firstLine="436"/>
        <w:spacing w:after="0" w:line="284" w:lineRule="auto"/>
        <w:tabs>
          <w:tab w:leader="none" w:pos="785"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paragraph 23, and Section 6.1 of the Deposit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000"/>
          </w:cols>
          <w:pgMar w:left="440" w:top="270" w:right="459" w:bottom="1440" w:gutter="0" w:footer="0" w:header="0"/>
        </w:sectPr>
      </w:pPr>
    </w:p>
    <w:bookmarkStart w:id="427" w:name="page428"/>
    <w:bookmarkEnd w:id="427"/>
    <w:p>
      <w:pPr>
        <w:ind w:left="4" w:right="40" w:firstLine="436"/>
        <w:spacing w:after="0" w:line="289" w:lineRule="auto"/>
        <w:tabs>
          <w:tab w:leader="none" w:pos="789" w:val="left"/>
        </w:tabs>
        <w:numPr>
          <w:ilvl w:val="1"/>
          <w:numId w:val="2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ninety</w:t>
      </w:r>
    </w:p>
    <w:p>
      <w:pPr>
        <w:spacing w:after="0" w:line="1" w:lineRule="exact"/>
        <w:rPr>
          <w:rFonts w:ascii="Arial" w:cs="Arial" w:eastAsia="Arial" w:hAnsi="Arial"/>
          <w:sz w:val="16"/>
          <w:szCs w:val="16"/>
          <w:b w:val="1"/>
          <w:bCs w:val="1"/>
          <w:color w:val="auto"/>
        </w:rPr>
      </w:pPr>
    </w:p>
    <w:p>
      <w:pPr>
        <w:ind w:left="4" w:right="240" w:hanging="4"/>
        <w:spacing w:after="0" w:line="281" w:lineRule="auto"/>
        <w:tabs>
          <w:tab w:leader="none" w:pos="349" w:val="left"/>
        </w:tabs>
        <w:numPr>
          <w:ilvl w:val="0"/>
          <w:numId w:val="286"/>
        </w:numPr>
        <w:rPr>
          <w:rFonts w:ascii="Arial" w:cs="Arial" w:eastAsia="Arial" w:hAnsi="Arial"/>
          <w:sz w:val="16"/>
          <w:szCs w:val="16"/>
          <w:color w:val="auto"/>
        </w:rPr>
      </w:pPr>
      <w:r>
        <w:rPr>
          <w:rFonts w:ascii="Arial" w:cs="Arial" w:eastAsia="Arial" w:hAnsi="Arial"/>
          <w:sz w:val="16"/>
          <w:szCs w:val="16"/>
          <w:color w:val="auto"/>
        </w:rPr>
        <w:t>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w:t>
      </w:r>
    </w:p>
    <w:p>
      <w:pPr>
        <w:spacing w:after="0" w:line="1" w:lineRule="exact"/>
        <w:rPr>
          <w:rFonts w:ascii="Arial" w:cs="Arial" w:eastAsia="Arial" w:hAnsi="Arial"/>
          <w:sz w:val="16"/>
          <w:szCs w:val="16"/>
          <w:color w:val="auto"/>
        </w:rPr>
      </w:pPr>
    </w:p>
    <w:p>
      <w:pPr>
        <w:ind w:left="4" w:hanging="4"/>
        <w:spacing w:after="0" w:line="283" w:lineRule="auto"/>
        <w:tabs>
          <w:tab w:leader="none" w:pos="34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81"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24"/>
          </w:cols>
          <w:pgMar w:left="436" w:top="270" w:right="439" w:bottom="1440" w:gutter="0" w:footer="0" w:header="0"/>
        </w:sectPr>
      </w:pPr>
    </w:p>
    <w:bookmarkStart w:id="428" w:name="page429"/>
    <w:bookmarkEnd w:id="428"/>
    <w:p>
      <w:pPr>
        <w:ind w:left="4" w:right="60" w:firstLine="436"/>
        <w:spacing w:after="0" w:line="261" w:lineRule="auto"/>
        <w:tabs>
          <w:tab w:leader="none" w:pos="789"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with, and No Disclaimer under, U.S.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(a) Notwithstanding any provisions in this ADR or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76" w:lineRule="exact"/>
        <w:rPr>
          <w:sz w:val="20"/>
          <w:szCs w:val="20"/>
          <w:color w:val="auto"/>
        </w:rPr>
      </w:pPr>
    </w:p>
    <w:p>
      <w:pPr>
        <w:jc w:val="both"/>
        <w:ind w:left="4" w:right="60" w:firstLine="436"/>
        <w:spacing w:after="0" w:line="263" w:lineRule="auto"/>
        <w:tabs>
          <w:tab w:leader="none" w:pos="69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left="4" w:right="160" w:firstLine="436"/>
        <w:spacing w:after="0" w:line="286" w:lineRule="auto"/>
        <w:tabs>
          <w:tab w:leader="none" w:pos="789" w:val="left"/>
        </w:tabs>
        <w:numPr>
          <w:ilvl w:val="1"/>
          <w:numId w:val="2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Third Party Beneficiaries/Acknowledgements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w:t>
      </w:r>
    </w:p>
    <w:p>
      <w:pPr>
        <w:spacing w:after="0" w:line="2" w:lineRule="exact"/>
        <w:rPr>
          <w:rFonts w:ascii="Arial" w:cs="Arial" w:eastAsia="Arial" w:hAnsi="Arial"/>
          <w:sz w:val="16"/>
          <w:szCs w:val="16"/>
          <w:b w:val="1"/>
          <w:bCs w:val="1"/>
          <w:color w:val="auto"/>
        </w:rPr>
      </w:pPr>
    </w:p>
    <w:p>
      <w:pPr>
        <w:ind w:left="4" w:right="260" w:hanging="4"/>
        <w:spacing w:after="0" w:line="281" w:lineRule="auto"/>
        <w:tabs>
          <w:tab w:leader="none" w:pos="269" w:val="left"/>
        </w:tabs>
        <w:numPr>
          <w:ilvl w:val="0"/>
          <w:numId w:val="291"/>
        </w:numPr>
        <w:rPr>
          <w:rFonts w:ascii="Arial" w:cs="Arial" w:eastAsia="Arial" w:hAnsi="Arial"/>
          <w:sz w:val="16"/>
          <w:szCs w:val="16"/>
          <w:color w:val="auto"/>
        </w:rPr>
      </w:pPr>
      <w:r>
        <w:rPr>
          <w:rFonts w:ascii="Arial" w:cs="Arial" w:eastAsia="Arial" w:hAnsi="Arial"/>
          <w:sz w:val="16"/>
          <w:szCs w:val="16"/>
          <w:color w:val="auto"/>
        </w:rPr>
        <w:t>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the Depositary and its Affiliates may from time to time have in their possession non-public information about the Company, the Holders, the</w:t>
      </w:r>
    </w:p>
    <w:p>
      <w:pPr>
        <w:spacing w:after="0" w:line="20" w:lineRule="exact"/>
        <w:rPr>
          <w:rFonts w:ascii="Arial" w:cs="Arial" w:eastAsia="Arial" w:hAnsi="Arial"/>
          <w:sz w:val="17"/>
          <w:szCs w:val="17"/>
          <w:color w:val="auto"/>
        </w:rPr>
      </w:pPr>
    </w:p>
    <w:p>
      <w:pPr>
        <w:ind w:left="4"/>
        <w:spacing w:after="0" w:line="287" w:lineRule="auto"/>
        <w:rPr>
          <w:rFonts w:ascii="Arial" w:cs="Arial" w:eastAsia="Arial" w:hAnsi="Arial"/>
          <w:sz w:val="17"/>
          <w:szCs w:val="17"/>
          <w:color w:val="auto"/>
        </w:rPr>
      </w:pPr>
      <w:r>
        <w:rPr>
          <w:rFonts w:ascii="Arial" w:cs="Arial" w:eastAsia="Arial" w:hAnsi="Arial"/>
          <w:sz w:val="16"/>
          <w:szCs w:val="16"/>
          <w:color w:val="auto"/>
        </w:rPr>
        <w:t>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004"/>
          </w:cols>
          <w:pgMar w:left="436" w:top="270" w:right="459" w:bottom="1440" w:gutter="0" w:footer="0" w:header="0"/>
        </w:sectPr>
      </w:pPr>
    </w:p>
    <w:bookmarkStart w:id="429" w:name="page430"/>
    <w:bookmarkEnd w:id="429"/>
    <w:p>
      <w:pPr>
        <w:ind w:right="180" w:firstLine="436"/>
        <w:spacing w:after="0" w:line="274" w:lineRule="auto"/>
        <w:tabs>
          <w:tab w:leader="none" w:pos="785" w:val="left"/>
        </w:tabs>
        <w:numPr>
          <w:ilvl w:val="0"/>
          <w:numId w:val="29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 Waiver of Jury Trial</w:t>
      </w:r>
      <w:r>
        <w:rPr>
          <w:rFonts w:ascii="Arial" w:cs="Arial" w:eastAsia="Arial" w:hAnsi="Arial"/>
          <w:sz w:val="17"/>
          <w:szCs w:val="17"/>
          <w:color w:val="auto"/>
        </w:rPr>
        <w:t>. The Deposit Agreement, the ADRs and the ADSs shall be interpreted in accordance with,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rights hereunder and thereunder and provisions hereof and thereof shall be governed by, the laws of the State of New York without reference to the principles of choice of law thereof.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7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Holders and Beneficial Owners understand and each irrevocably agrees that, by holding an ADS or an interest therein, any suit, action or proceeding against or involving the Company or the Depositary, regardless of whether such suit, action or proceeding also involves parties other than the Company or the Depositary (including, but not limited to, any underwriters retained by the Company), arising out of or based upon or relating in any way to the Deposit Agreement, ADSs, ADRs or the transactions contemplated hereby or thereby or by virtue of ownership thereof, including, without limitation, claims under the Securities Act of 1933,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90"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000"/>
          </w:cols>
          <w:pgMar w:left="440" w:top="270" w:right="459" w:bottom="1440" w:gutter="0" w:footer="0" w:header="0"/>
        </w:sectPr>
      </w:pPr>
    </w:p>
    <w:bookmarkStart w:id="430" w:name="page431"/>
    <w:bookmarkEnd w:id="4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hereby sell(s), assign(s) and transfer(s) unto ______________________________ whose taxpayer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number is _______________________ and whose address including postal zip code is ________________, the within ADR and all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thereunder, hereby irrevocably constituting and appointing ________________________ attorney-in-fact to transfer said ADR on the books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Depositary with full power of substitution in the premises.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Dated:</w:t>
            </w: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6160" w:type="dxa"/>
            <w:vAlign w:val="bottom"/>
            <w:gridSpan w:val="2"/>
          </w:tcPr>
          <w:p>
            <w:pPr>
              <w:ind w:left="13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4860" w:type="dxa"/>
            <w:vAlign w:val="bottom"/>
          </w:tcPr>
          <w:p>
            <w:pPr>
              <w:spacing w:after="0"/>
              <w:rPr>
                <w:sz w:val="24"/>
                <w:szCs w:val="24"/>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93"/>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96"/>
              </w:rPr>
              <w:t>with the name as written upon the face of the within instrument in every</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96"/>
              </w:rPr>
              <w:t>particular, without alteration or enlargement or any change whatsoever.</w:t>
            </w:r>
          </w:p>
        </w:tc>
        <w:tc>
          <w:tcPr>
            <w:tcW w:w="0" w:type="dxa"/>
            <w:vAlign w:val="bottom"/>
          </w:tcPr>
          <w:p>
            <w:pPr>
              <w:spacing w:after="0"/>
              <w:rPr>
                <w:sz w:val="1"/>
                <w:szCs w:val="1"/>
                <w:color w:val="auto"/>
              </w:rPr>
            </w:pPr>
          </w:p>
        </w:tc>
      </w:tr>
      <w:tr>
        <w:trPr>
          <w:trHeight w:val="418"/>
        </w:trPr>
        <w:tc>
          <w:tcPr>
            <w:tcW w:w="4860" w:type="dxa"/>
            <w:vAlign w:val="bottom"/>
          </w:tcPr>
          <w:p>
            <w:pPr>
              <w:spacing w:after="0"/>
              <w:rPr>
                <w:sz w:val="24"/>
                <w:szCs w:val="24"/>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96"/>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89"/>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97"/>
              </w:rPr>
              <w:t>full title in such capacity and proper evidence of authority to act in such</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98"/>
              </w:rPr>
              <w:t>capacity, if not on file with the Depositary, must be forwarded with this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ADR.</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60" w:type="dxa"/>
            <w:vAlign w:val="bottom"/>
          </w:tcPr>
          <w:p>
            <w:pPr>
              <w:spacing w:after="0"/>
              <w:rPr>
                <w:sz w:val="20"/>
                <w:szCs w:val="20"/>
                <w:color w:val="auto"/>
              </w:rPr>
            </w:pPr>
            <w:r>
              <w:rPr>
                <w:rFonts w:ascii="Arial" w:cs="Arial" w:eastAsia="Arial" w:hAnsi="Arial"/>
                <w:sz w:val="18"/>
                <w:szCs w:val="18"/>
                <w:color w:val="auto"/>
              </w:rPr>
              <w:t>SIGNATURE GUARANTEED</w:t>
            </w:r>
          </w:p>
        </w:tc>
        <w:tc>
          <w:tcPr>
            <w:tcW w:w="6160" w:type="dxa"/>
            <w:vAlign w:val="bottom"/>
            <w:gridSpan w:val="2"/>
            <w:vMerge w:val="restart"/>
          </w:tcPr>
          <w:p>
            <w:pPr>
              <w:ind w:left="660"/>
              <w:spacing w:after="0"/>
              <w:rPr>
                <w:sz w:val="20"/>
                <w:szCs w:val="20"/>
                <w:color w:val="auto"/>
              </w:rPr>
            </w:pPr>
            <w:r>
              <w:rPr>
                <w:rFonts w:ascii="Arial" w:cs="Arial" w:eastAsia="Arial" w:hAnsi="Arial"/>
                <w:sz w:val="18"/>
                <w:szCs w:val="18"/>
                <w:color w:val="auto"/>
              </w:rPr>
              <w:t>All endorsements or assignments of ADRs must be guaranteed by a</w:t>
            </w:r>
          </w:p>
        </w:tc>
        <w:tc>
          <w:tcPr>
            <w:tcW w:w="0" w:type="dxa"/>
            <w:vAlign w:val="bottom"/>
          </w:tcPr>
          <w:p>
            <w:pPr>
              <w:spacing w:after="0"/>
              <w:rPr>
                <w:sz w:val="1"/>
                <w:szCs w:val="1"/>
                <w:color w:val="auto"/>
              </w:rPr>
            </w:pPr>
          </w:p>
        </w:tc>
      </w:tr>
      <w:tr>
        <w:trPr>
          <w:trHeight w:val="201"/>
        </w:trPr>
        <w:tc>
          <w:tcPr>
            <w:tcW w:w="4860" w:type="dxa"/>
            <w:vAlign w:val="bottom"/>
          </w:tcPr>
          <w:p>
            <w:pPr>
              <w:spacing w:after="0"/>
              <w:rPr>
                <w:sz w:val="17"/>
                <w:szCs w:val="17"/>
                <w:color w:val="auto"/>
              </w:rPr>
            </w:pPr>
          </w:p>
        </w:tc>
        <w:tc>
          <w:tcPr>
            <w:tcW w:w="6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w w:val="98"/>
              </w:rPr>
              <w:t>member of a Medallion Signature Program approved by the Securities</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6160" w:type="dxa"/>
            <w:vAlign w:val="bottom"/>
            <w:gridSpan w:val="2"/>
          </w:tcPr>
          <w:p>
            <w:pPr>
              <w:ind w:left="660"/>
              <w:spacing w:after="0"/>
              <w:rPr>
                <w:sz w:val="20"/>
                <w:szCs w:val="20"/>
                <w:color w:val="auto"/>
              </w:rPr>
            </w:pPr>
            <w:r>
              <w:rPr>
                <w:rFonts w:ascii="Arial" w:cs="Arial" w:eastAsia="Arial" w:hAnsi="Arial"/>
                <w:sz w:val="18"/>
                <w:szCs w:val="18"/>
                <w:color w:val="auto"/>
              </w:rPr>
              <w:t>Transfer Association, Inc.</w:t>
            </w: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4"/>
                <w:szCs w:val="24"/>
                <w:color w:val="auto"/>
              </w:rPr>
            </w:pPr>
          </w:p>
        </w:tc>
        <w:tc>
          <w:tcPr>
            <w:tcW w:w="6160" w:type="dxa"/>
            <w:vAlign w:val="bottom"/>
            <w:gridSpan w:val="2"/>
          </w:tcPr>
          <w:p>
            <w:pPr>
              <w:ind w:left="320"/>
              <w:spacing w:after="0"/>
              <w:rPr>
                <w:sz w:val="20"/>
                <w:szCs w:val="20"/>
                <w:color w:val="auto"/>
              </w:rPr>
            </w:pPr>
            <w:r>
              <w:rPr>
                <w:rFonts w:ascii="Arial" w:cs="Arial" w:eastAsia="Arial" w:hAnsi="Arial"/>
                <w:sz w:val="18"/>
                <w:szCs w:val="18"/>
                <w:b w:val="1"/>
                <w:bCs w:val="1"/>
                <w:color w:val="auto"/>
              </w:rPr>
              <w:t>Legends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20"/>
          </w:cols>
          <w:pgMar w:left="440" w:top="270" w:right="439" w:bottom="1440" w:gutter="0" w:footer="0" w:header="0"/>
        </w:sectPr>
      </w:pPr>
    </w:p>
    <w:bookmarkStart w:id="431" w:name="page432"/>
    <w:bookmarkEnd w:id="431"/>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b w:val="1"/>
          <w:bCs w:val="1"/>
          <w:u w:val="single" w:color="auto"/>
          <w:color w:val="auto"/>
        </w:rPr>
        <w:t>ADS Fees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ADS fees are payable under the terms of the Deposit Agreement:</w:t>
      </w:r>
    </w:p>
    <w:p>
      <w:pPr>
        <w:sectPr>
          <w:pgSz w:w="11900" w:h="16838" w:orient="portrait"/>
          <w:cols w:equalWidth="0" w:num="1">
            <w:col w:w="10904"/>
          </w:cols>
          <w:pgMar w:left="436" w:top="270" w:right="559" w:bottom="1440" w:gutter="0" w:footer="0" w:header="0"/>
        </w:sectPr>
      </w:pP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Service</w:t>
      </w:r>
    </w:p>
    <w:p>
      <w:pPr>
        <w:spacing w:after="0" w:line="25" w:lineRule="exact"/>
        <w:rPr>
          <w:sz w:val="20"/>
          <w:szCs w:val="20"/>
          <w:color w:val="auto"/>
        </w:rPr>
      </w:pPr>
    </w:p>
    <w:p>
      <w:pPr>
        <w:ind w:left="4" w:right="100" w:hanging="4"/>
        <w:spacing w:after="0" w:line="271" w:lineRule="auto"/>
        <w:tabs>
          <w:tab w:leader="none" w:pos="259"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Issuance of ADSs (</w:t>
      </w:r>
      <w:r>
        <w:rPr>
          <w:rFonts w:ascii="Arial" w:cs="Arial" w:eastAsia="Arial" w:hAnsi="Arial"/>
          <w:sz w:val="17"/>
          <w:szCs w:val="17"/>
          <w:i w:val="1"/>
          <w:iCs w:val="1"/>
          <w:color w:val="auto"/>
        </w:rPr>
        <w:t>e.g.</w:t>
      </w:r>
      <w:r>
        <w:rPr>
          <w:rFonts w:ascii="Arial" w:cs="Arial" w:eastAsia="Arial" w:hAnsi="Arial"/>
          <w:sz w:val="17"/>
          <w:szCs w:val="17"/>
          <w:color w:val="auto"/>
        </w:rPr>
        <w:t>, an issuance upon a deposit of Shares, upon a change in the ADS(s)-to-Share(s) ratio, or for any other reason), excluding issuances as a result of distributions described in paragraph (4) below.</w:t>
      </w:r>
    </w:p>
    <w:p>
      <w:pPr>
        <w:spacing w:after="0" w:line="68" w:lineRule="exact"/>
        <w:rPr>
          <w:rFonts w:ascii="Arial" w:cs="Arial" w:eastAsia="Arial" w:hAnsi="Arial"/>
          <w:sz w:val="17"/>
          <w:szCs w:val="17"/>
          <w:color w:val="auto"/>
        </w:rPr>
      </w:pPr>
    </w:p>
    <w:p>
      <w:pPr>
        <w:ind w:left="4" w:right="140" w:hanging="4"/>
        <w:spacing w:after="0" w:line="259" w:lineRule="auto"/>
        <w:tabs>
          <w:tab w:leader="none" w:pos="25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Cancellation of ADSs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w:t>
      </w:r>
    </w:p>
    <w:p>
      <w:pPr>
        <w:spacing w:after="0" w:line="78" w:lineRule="exact"/>
        <w:rPr>
          <w:rFonts w:ascii="Arial" w:cs="Arial" w:eastAsia="Arial" w:hAnsi="Arial"/>
          <w:sz w:val="18"/>
          <w:szCs w:val="18"/>
          <w:color w:val="auto"/>
        </w:rPr>
      </w:pPr>
    </w:p>
    <w:p>
      <w:pPr>
        <w:ind w:left="4" w:right="200" w:hanging="4"/>
        <w:spacing w:after="0" w:line="263" w:lineRule="auto"/>
        <w:tabs>
          <w:tab w:leader="none" w:pos="25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Distribution of cash dividends or other cash distributions (</w:t>
      </w:r>
      <w:r>
        <w:rPr>
          <w:rFonts w:ascii="Arial" w:cs="Arial" w:eastAsia="Arial" w:hAnsi="Arial"/>
          <w:sz w:val="18"/>
          <w:szCs w:val="18"/>
          <w:i w:val="1"/>
          <w:iCs w:val="1"/>
          <w:color w:val="auto"/>
        </w:rPr>
        <w:t>e.g.</w:t>
      </w:r>
      <w:r>
        <w:rPr>
          <w:rFonts w:ascii="Arial" w:cs="Arial" w:eastAsia="Arial" w:hAnsi="Arial"/>
          <w:sz w:val="18"/>
          <w:szCs w:val="18"/>
          <w:color w:val="auto"/>
        </w:rPr>
        <w:t>, upon a sale of rights and other entitlements).</w:t>
      </w:r>
    </w:p>
    <w:p>
      <w:pPr>
        <w:spacing w:after="0" w:line="75" w:lineRule="exact"/>
        <w:rPr>
          <w:rFonts w:ascii="Arial" w:cs="Arial" w:eastAsia="Arial" w:hAnsi="Arial"/>
          <w:sz w:val="18"/>
          <w:szCs w:val="18"/>
          <w:color w:val="auto"/>
        </w:rPr>
      </w:pPr>
    </w:p>
    <w:p>
      <w:pPr>
        <w:ind w:left="4" w:hanging="4"/>
        <w:spacing w:after="0" w:line="311" w:lineRule="auto"/>
        <w:tabs>
          <w:tab w:leader="none" w:pos="25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Distribution of ADSs pursuant to (i) stock dividends or other free stock distributions, or (ii) an exercise of rights to purchase additional ADSs.</w:t>
      </w:r>
    </w:p>
    <w:p>
      <w:pPr>
        <w:spacing w:after="0" w:line="40" w:lineRule="exact"/>
        <w:rPr>
          <w:rFonts w:ascii="Arial" w:cs="Arial" w:eastAsia="Arial" w:hAnsi="Arial"/>
          <w:sz w:val="16"/>
          <w:szCs w:val="16"/>
          <w:color w:val="auto"/>
        </w:rPr>
      </w:pPr>
    </w:p>
    <w:p>
      <w:pPr>
        <w:jc w:val="both"/>
        <w:ind w:left="4" w:right="180" w:hanging="4"/>
        <w:spacing w:after="0" w:line="263" w:lineRule="auto"/>
        <w:tabs>
          <w:tab w:leader="none" w:pos="25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Distribution of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left="-379"/>
        <w:spacing w:after="0"/>
        <w:rPr>
          <w:sz w:val="20"/>
          <w:szCs w:val="20"/>
          <w:color w:val="auto"/>
        </w:rPr>
      </w:pPr>
      <w:r>
        <w:rPr>
          <w:rFonts w:ascii="Arial" w:cs="Arial" w:eastAsia="Arial" w:hAnsi="Arial"/>
          <w:sz w:val="14"/>
          <w:szCs w:val="14"/>
          <w:b w:val="1"/>
          <w:bCs w:val="1"/>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223710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Up to U.S. $5.00 per 100 ADSs (or fraction thereof) issued.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 to U.S. $5.00 per 100 ADSs (or fraction thereof) cancelled.</w:t>
      </w:r>
    </w:p>
    <w:p>
      <w:pPr>
        <w:spacing w:after="0" w:line="200" w:lineRule="exact"/>
        <w:rPr>
          <w:sz w:val="20"/>
          <w:szCs w:val="20"/>
          <w:color w:val="auto"/>
        </w:rPr>
      </w:pPr>
    </w:p>
    <w:p>
      <w:pPr>
        <w:spacing w:after="0" w:line="2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 to U.S. $5.00 per 100 ADSs (or fraction thereof) held.</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 to U.S. $5.00 per 100 ADSs (or fraction thereof) held.</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 to U.S. $5.00 per 100 ADSs (or fraction thereof) held.</w:t>
      </w:r>
    </w:p>
    <w:p>
      <w:pPr>
        <w:spacing w:after="0" w:line="3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By Whom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602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7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Person for whom ADSs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Person for whom ADSs are being cancelled.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Person to whom the distribution is made.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Person to whom the distribution is made.</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Person to whom the distribution is made.</w:t>
      </w:r>
    </w:p>
    <w:p>
      <w:pPr>
        <w:sectPr>
          <w:pgSz w:w="11900" w:h="16838" w:orient="portrait"/>
          <w:cols w:equalWidth="0" w:num="3">
            <w:col w:w="3724" w:space="260"/>
            <w:col w:w="3140" w:space="500"/>
            <w:col w:w="3280"/>
          </w:cols>
          <w:pgMar w:left="436" w:top="270" w:right="559" w:bottom="1440" w:gutter="0" w:footer="0" w:header="0"/>
          <w:type w:val="continuous"/>
        </w:sectPr>
      </w:pPr>
    </w:p>
    <w:bookmarkStart w:id="432" w:name="page433"/>
    <w:bookmarkEnd w:id="432"/>
    <w:p>
      <w:pPr>
        <w:ind w:left="4"/>
        <w:spacing w:after="0"/>
        <w:tabs>
          <w:tab w:leader="none" w:pos="39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 ADS Services.</w:t>
      </w:r>
      <w:r>
        <w:rPr>
          <w:sz w:val="20"/>
          <w:szCs w:val="20"/>
          <w:color w:val="auto"/>
        </w:rPr>
        <w:tab/>
      </w:r>
      <w:r>
        <w:rPr>
          <w:rFonts w:ascii="Arial" w:cs="Arial" w:eastAsia="Arial" w:hAnsi="Arial"/>
          <w:sz w:val="16"/>
          <w:szCs w:val="16"/>
          <w:color w:val="auto"/>
        </w:rPr>
        <w:t>Up to U.S. $5.00 per 100 ADSs (or fraction</w:t>
      </w:r>
    </w:p>
    <w:p>
      <w:pPr>
        <w:spacing w:after="0" w:line="23" w:lineRule="exact"/>
        <w:rPr>
          <w:sz w:val="20"/>
          <w:szCs w:val="20"/>
          <w:color w:val="auto"/>
        </w:rPr>
      </w:pPr>
    </w:p>
    <w:p>
      <w:pPr>
        <w:ind w:left="3984"/>
        <w:spacing w:after="0"/>
        <w:rPr>
          <w:sz w:val="20"/>
          <w:szCs w:val="20"/>
          <w:color w:val="auto"/>
        </w:rPr>
      </w:pPr>
      <w:r>
        <w:rPr>
          <w:rFonts w:ascii="Arial" w:cs="Arial" w:eastAsia="Arial" w:hAnsi="Arial"/>
          <w:sz w:val="16"/>
          <w:szCs w:val="16"/>
          <w:color w:val="auto"/>
        </w:rPr>
        <w:t>thereof) held on the applicable record date(s)</w:t>
      </w:r>
    </w:p>
    <w:p>
      <w:pPr>
        <w:spacing w:after="0" w:line="32" w:lineRule="exact"/>
        <w:rPr>
          <w:sz w:val="20"/>
          <w:szCs w:val="20"/>
          <w:color w:val="auto"/>
        </w:rPr>
      </w:pPr>
    </w:p>
    <w:p>
      <w:pPr>
        <w:ind w:left="3984"/>
        <w:spacing w:after="0"/>
        <w:rPr>
          <w:sz w:val="20"/>
          <w:szCs w:val="20"/>
          <w:color w:val="auto"/>
        </w:rPr>
      </w:pPr>
      <w:r>
        <w:rPr>
          <w:rFonts w:ascii="Arial" w:cs="Arial" w:eastAsia="Arial" w:hAnsi="Arial"/>
          <w:sz w:val="18"/>
          <w:szCs w:val="18"/>
          <w:color w:val="auto"/>
        </w:rPr>
        <w:t>established by the Depositary.</w:t>
      </w:r>
    </w:p>
    <w:p>
      <w:pPr>
        <w:spacing w:after="0" w:line="20" w:lineRule="exact"/>
        <w:rPr>
          <w:sz w:val="20"/>
          <w:szCs w:val="20"/>
          <w:color w:val="auto"/>
        </w:rPr>
      </w:pPr>
      <w:r>
        <w:rPr>
          <w:sz w:val="20"/>
          <w:szCs w:val="20"/>
          <w:color w:val="auto"/>
        </w:rPr>
        <w:br w:type="column"/>
      </w:r>
    </w:p>
    <w:p>
      <w:pPr>
        <w:ind w:right="60"/>
        <w:spacing w:after="0" w:line="342" w:lineRule="auto"/>
        <w:rPr>
          <w:sz w:val="20"/>
          <w:szCs w:val="20"/>
          <w:color w:val="auto"/>
        </w:rPr>
      </w:pPr>
      <w:r>
        <w:rPr>
          <w:rFonts w:ascii="Arial" w:cs="Arial" w:eastAsia="Arial" w:hAnsi="Arial"/>
          <w:sz w:val="16"/>
          <w:szCs w:val="16"/>
          <w:color w:val="auto"/>
        </w:rPr>
        <w:t>Person holding ADSs on the applicable record date(s) established by the Depositary.</w:t>
      </w:r>
    </w:p>
    <w:p>
      <w:pPr>
        <w:spacing w:after="0" w:line="231" w:lineRule="exact"/>
        <w:rPr>
          <w:sz w:val="20"/>
          <w:szCs w:val="20"/>
          <w:color w:val="auto"/>
        </w:rPr>
      </w:pPr>
    </w:p>
    <w:p>
      <w:pPr>
        <w:sectPr>
          <w:pgSz w:w="11900" w:h="16838" w:orient="portrait"/>
          <w:cols w:equalWidth="0" w:num="2">
            <w:col w:w="7224" w:space="400"/>
            <w:col w:w="3380"/>
          </w:cols>
          <w:pgMar w:left="436" w:top="274" w:right="459" w:bottom="1440" w:gutter="0" w:footer="0" w:header="0"/>
        </w:sectPr>
      </w:pPr>
    </w:p>
    <w:p>
      <w:pPr>
        <w:ind w:left="4" w:hanging="4"/>
        <w:spacing w:after="0" w:line="279" w:lineRule="auto"/>
        <w:tabs>
          <w:tab w:leader="none" w:pos="259" w:val="left"/>
        </w:tabs>
        <w:numPr>
          <w:ilvl w:val="0"/>
          <w:numId w:val="294"/>
        </w:numPr>
        <w:rPr>
          <w:rFonts w:ascii="Arial" w:cs="Arial" w:eastAsia="Arial" w:hAnsi="Arial"/>
          <w:sz w:val="17"/>
          <w:szCs w:val="17"/>
          <w:color w:val="auto"/>
        </w:rPr>
      </w:pPr>
      <w:r>
        <w:rPr>
          <w:rFonts w:ascii="Arial" w:cs="Arial" w:eastAsia="Arial" w:hAnsi="Arial"/>
          <w:sz w:val="17"/>
          <w:szCs w:val="17"/>
          <w:color w:val="auto"/>
        </w:rPr>
        <w:t>Registration of ADS Transfers (</w:t>
      </w:r>
      <w:r>
        <w:rPr>
          <w:rFonts w:ascii="Arial" w:cs="Arial" w:eastAsia="Arial" w:hAnsi="Arial"/>
          <w:sz w:val="17"/>
          <w:szCs w:val="17"/>
          <w:i w:val="1"/>
          <w:iCs w:val="1"/>
          <w:color w:val="auto"/>
        </w:rPr>
        <w:t>e.g.</w:t>
      </w:r>
      <w:r>
        <w:rPr>
          <w:rFonts w:ascii="Arial" w:cs="Arial" w:eastAsia="Arial" w:hAnsi="Arial"/>
          <w:sz w:val="17"/>
          <w:szCs w:val="17"/>
          <w:color w:val="auto"/>
        </w:rPr>
        <w:t xml:space="preserve">, upon a registration of the transfer of registered ownership of ADSs, upon a transfer of ADSs into DTC and </w:t>
      </w:r>
      <w:r>
        <w:rPr>
          <w:rFonts w:ascii="Arial" w:cs="Arial" w:eastAsia="Arial" w:hAnsi="Arial"/>
          <w:sz w:val="17"/>
          <w:szCs w:val="17"/>
          <w:i w:val="1"/>
          <w:iCs w:val="1"/>
          <w:color w:val="auto"/>
        </w:rPr>
        <w:t>vice</w:t>
      </w:r>
      <w:r>
        <w:rPr>
          <w:rFonts w:ascii="Arial" w:cs="Arial" w:eastAsia="Arial" w:hAnsi="Arial"/>
          <w:sz w:val="17"/>
          <w:szCs w:val="17"/>
          <w:color w:val="auto"/>
        </w:rPr>
        <w:t xml:space="preserve"> </w:t>
      </w:r>
      <w:r>
        <w:rPr>
          <w:rFonts w:ascii="Arial" w:cs="Arial" w:eastAsia="Arial" w:hAnsi="Arial"/>
          <w:sz w:val="17"/>
          <w:szCs w:val="17"/>
          <w:i w:val="1"/>
          <w:iCs w:val="1"/>
          <w:color w:val="auto"/>
        </w:rPr>
        <w:t>versa</w:t>
      </w:r>
      <w:r>
        <w:rPr>
          <w:rFonts w:ascii="Arial" w:cs="Arial" w:eastAsia="Arial" w:hAnsi="Arial"/>
          <w:sz w:val="17"/>
          <w:szCs w:val="17"/>
          <w:color w:val="auto"/>
        </w:rPr>
        <w:t>, or for any other reason).</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Up to U.S. $5.00 per 100 ADSs (or fraction thereof) transferred.</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Person for whom or to whom ADSs are transferred.</w:t>
      </w:r>
    </w:p>
    <w:p>
      <w:pPr>
        <w:spacing w:after="0" w:line="494" w:lineRule="exact"/>
        <w:rPr>
          <w:sz w:val="20"/>
          <w:szCs w:val="20"/>
          <w:color w:val="auto"/>
        </w:rPr>
      </w:pPr>
    </w:p>
    <w:p>
      <w:pPr>
        <w:sectPr>
          <w:pgSz w:w="11900" w:h="16838" w:orient="portrait"/>
          <w:cols w:equalWidth="0" w:num="3">
            <w:col w:w="3804" w:space="180"/>
            <w:col w:w="3140" w:space="500"/>
            <w:col w:w="3380"/>
          </w:cols>
          <w:pgMar w:left="436" w:top="274" w:right="459" w:bottom="1440" w:gutter="0" w:footer="0" w:header="0"/>
          <w:type w:val="continuous"/>
        </w:sectPr>
      </w:pPr>
    </w:p>
    <w:p>
      <w:pPr>
        <w:ind w:left="4" w:hanging="4"/>
        <w:spacing w:after="0" w:line="275" w:lineRule="auto"/>
        <w:tabs>
          <w:tab w:leader="none" w:pos="259" w:val="left"/>
        </w:tabs>
        <w:numPr>
          <w:ilvl w:val="0"/>
          <w:numId w:val="295"/>
        </w:numPr>
        <w:rPr>
          <w:rFonts w:ascii="Arial" w:cs="Arial" w:eastAsia="Arial" w:hAnsi="Arial"/>
          <w:sz w:val="17"/>
          <w:szCs w:val="17"/>
          <w:color w:val="auto"/>
        </w:rPr>
      </w:pPr>
      <w:r>
        <w:rPr>
          <w:rFonts w:ascii="Arial" w:cs="Arial" w:eastAsia="Arial" w:hAnsi="Arial"/>
          <w:sz w:val="17"/>
          <w:szCs w:val="17"/>
          <w:color w:val="auto"/>
        </w:rPr>
        <w:t>Conversion of ADSs of one series for ADSs of another series (</w:t>
      </w:r>
      <w:r>
        <w:rPr>
          <w:rFonts w:ascii="Arial" w:cs="Arial" w:eastAsia="Arial" w:hAnsi="Arial"/>
          <w:sz w:val="17"/>
          <w:szCs w:val="17"/>
          <w:i w:val="1"/>
          <w:iCs w:val="1"/>
          <w:color w:val="auto"/>
        </w:rPr>
        <w:t>e.g.</w:t>
      </w:r>
      <w:r>
        <w:rPr>
          <w:rFonts w:ascii="Arial" w:cs="Arial" w:eastAsia="Arial" w:hAnsi="Arial"/>
          <w:sz w:val="17"/>
          <w:szCs w:val="17"/>
          <w:color w:val="auto"/>
        </w:rPr>
        <w:t xml:space="preserve">, upon conversion of Partial Entitlement ADSs for Full Entitlement ADSs, or upon conversion of Restricted ADSs into freely transferable ADSs, and </w:t>
      </w:r>
      <w:r>
        <w:rPr>
          <w:rFonts w:ascii="Arial" w:cs="Arial" w:eastAsia="Arial" w:hAnsi="Arial"/>
          <w:sz w:val="17"/>
          <w:szCs w:val="17"/>
          <w:i w:val="1"/>
          <w:iCs w:val="1"/>
          <w:color w:val="auto"/>
        </w:rPr>
        <w:t>vice versa</w:t>
      </w:r>
      <w:r>
        <w:rPr>
          <w:rFonts w:ascii="Arial" w:cs="Arial" w:eastAsia="Arial" w:hAnsi="Arial"/>
          <w:sz w:val="17"/>
          <w:szCs w:val="17"/>
          <w:color w:val="auto"/>
        </w:rPr>
        <w:t>).</w:t>
      </w:r>
    </w:p>
    <w:p>
      <w:pPr>
        <w:spacing w:after="0" w:line="199" w:lineRule="exact"/>
        <w:rPr>
          <w:sz w:val="20"/>
          <w:szCs w:val="20"/>
          <w:color w:val="auto"/>
        </w:rPr>
      </w:pPr>
    </w:p>
    <w:p>
      <w:pPr>
        <w:ind w:left="424" w:hanging="424"/>
        <w:spacing w:after="0"/>
        <w:tabs>
          <w:tab w:leader="none" w:pos="424"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Up to U.S. $5.00 per 100 ADSs (or fraction thereof) converted.</w:t>
      </w:r>
    </w:p>
    <w:p>
      <w:pPr>
        <w:spacing w:after="0" w:line="20" w:lineRule="exact"/>
        <w:rPr>
          <w:sz w:val="20"/>
          <w:szCs w:val="20"/>
          <w:color w:val="auto"/>
        </w:rPr>
      </w:pPr>
      <w:r>
        <w:rPr>
          <w:sz w:val="20"/>
          <w:szCs w:val="20"/>
          <w:color w:val="auto"/>
        </w:rPr>
        <w:br w:type="column"/>
      </w:r>
    </w:p>
    <w:p>
      <w:pPr>
        <w:ind w:right="280"/>
        <w:spacing w:after="0" w:line="342" w:lineRule="auto"/>
        <w:rPr>
          <w:sz w:val="20"/>
          <w:szCs w:val="20"/>
          <w:color w:val="auto"/>
        </w:rPr>
      </w:pPr>
      <w:r>
        <w:rPr>
          <w:rFonts w:ascii="Arial" w:cs="Arial" w:eastAsia="Arial" w:hAnsi="Arial"/>
          <w:sz w:val="16"/>
          <w:szCs w:val="16"/>
          <w:color w:val="auto"/>
        </w:rPr>
        <w:t>Person for whom ADSs are converted or to whom the converted ADSs are delivered.</w:t>
      </w:r>
    </w:p>
    <w:p>
      <w:pPr>
        <w:spacing w:after="0" w:line="1122" w:lineRule="exact"/>
        <w:rPr>
          <w:sz w:val="20"/>
          <w:szCs w:val="20"/>
          <w:color w:val="auto"/>
        </w:rPr>
      </w:pPr>
    </w:p>
    <w:p>
      <w:pPr>
        <w:sectPr>
          <w:pgSz w:w="11900" w:h="16838" w:orient="portrait"/>
          <w:cols w:equalWidth="0" w:num="3">
            <w:col w:w="3624" w:space="360"/>
            <w:col w:w="3140" w:space="500"/>
            <w:col w:w="3380"/>
          </w:cols>
          <w:pgMar w:left="436" w:top="274" w:right="459" w:bottom="1440" w:gutter="0" w:footer="0" w:header="0"/>
          <w:type w:val="continuous"/>
        </w:sectPr>
      </w:pPr>
    </w:p>
    <w:p>
      <w:pPr>
        <w:ind w:left="4" w:firstLine="440"/>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89" w:lineRule="exact"/>
        <w:rPr>
          <w:sz w:val="20"/>
          <w:szCs w:val="20"/>
          <w:color w:val="auto"/>
        </w:rPr>
      </w:pPr>
    </w:p>
    <w:p>
      <w:pPr>
        <w:ind w:left="424" w:hanging="424"/>
        <w:spacing w:after="0"/>
        <w:tabs>
          <w:tab w:leader="none" w:pos="42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424" w:right="280" w:hanging="424"/>
        <w:spacing w:after="0" w:line="263" w:lineRule="auto"/>
        <w:tabs>
          <w:tab w:leader="none" w:pos="42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75"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4"/>
          </w:cols>
          <w:pgMar w:left="436" w:top="274" w:right="459" w:bottom="1440" w:gutter="0" w:footer="0" w:header="0"/>
          <w:type w:val="continuous"/>
        </w:sectPr>
      </w:pPr>
    </w:p>
    <w:bookmarkStart w:id="433" w:name="page434"/>
    <w:bookmarkEnd w:id="433"/>
    <w:p>
      <w:pPr>
        <w:ind w:left="424" w:hanging="424"/>
        <w:spacing w:after="0" w:line="277" w:lineRule="auto"/>
        <w:tabs>
          <w:tab w:leader="none" w:pos="424" w:val="left"/>
        </w:tabs>
        <w:numPr>
          <w:ilvl w:val="0"/>
          <w:numId w:val="2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reasonable and customary out-of-pocket expenses incurred in such conversion and/or on behalf of the Holders and Beneficial Owners in complying with currency exchange control or other governmental requirements; and</w:t>
      </w:r>
    </w:p>
    <w:p>
      <w:pPr>
        <w:spacing w:after="0" w:line="75" w:lineRule="exact"/>
        <w:rPr>
          <w:rFonts w:ascii="Arial" w:cs="Arial" w:eastAsia="Arial" w:hAnsi="Arial"/>
          <w:sz w:val="18"/>
          <w:szCs w:val="18"/>
          <w:color w:val="auto"/>
        </w:rPr>
      </w:pPr>
    </w:p>
    <w:p>
      <w:pPr>
        <w:ind w:left="444" w:right="340" w:hanging="444"/>
        <w:spacing w:after="0" w:line="519" w:lineRule="auto"/>
        <w:tabs>
          <w:tab w:leader="none" w:pos="436"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 The above fees and charges may at any time and from time to time be changed by agreement between the Company and the Depositary.</w:t>
      </w:r>
    </w:p>
    <w:p>
      <w:pPr>
        <w:spacing w:after="0" w:line="1" w:lineRule="exact"/>
        <w:rPr>
          <w:sz w:val="20"/>
          <w:szCs w:val="20"/>
          <w:color w:val="auto"/>
        </w:rPr>
      </w:pPr>
    </w:p>
    <w:p>
      <w:pPr>
        <w:jc w:val="center"/>
        <w:ind w:right="-483"/>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544"/>
          </w:cols>
          <w:pgMar w:left="436" w:top="274" w:right="919"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We consent to the use in this Registration Statement (No. 333-256615) on Form F-1/A of our report dated March 17, 2021 relating to the financial statements of AiHuiShou International Co. Ltd. We also consent to the reference to us under the heading “Experts” in such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/s/Deloitte Touche Tohmatsu Certified Public Accountants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Deloitte Touche Tohmatsu Certified Public Accountants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Shanghai,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4,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5968C1C"/>
    <w:multiLevelType w:val="hybridMultilevel"/>
    <w:lvl w:ilvl="0">
      <w:lvlJc w:val="left"/>
      <w:lvlText w:val="(%1)"/>
      <w:numFmt w:val="decimal"/>
      <w:start w:val="1"/>
    </w:lvl>
  </w:abstractNum>
  <w:abstractNum w:abstractNumId="1">
    <w:nsid w:val="46263DEC"/>
    <w:multiLevelType w:val="hybridMultilevel"/>
    <w:lvl w:ilvl="0">
      <w:lvlJc w:val="left"/>
      <w:lvlText w:val="(%1)"/>
      <w:numFmt w:val="decimal"/>
      <w:start w:val="1"/>
    </w:lvl>
  </w:abstractNum>
  <w:abstractNum w:abstractNumId="2">
    <w:nsid w:val="260D8C4A"/>
    <w:multiLevelType w:val="hybridMultilevel"/>
    <w:lvl w:ilvl="0">
      <w:lvlJc w:val="left"/>
      <w:lvlText w:val="●"/>
      <w:numFmt w:val="bullet"/>
      <w:start w:val="1"/>
    </w:lvl>
  </w:abstractNum>
  <w:abstractNum w:abstractNumId="3">
    <w:nsid w:val="73D4D3C4"/>
    <w:multiLevelType w:val="hybridMultilevel"/>
    <w:lvl w:ilvl="0">
      <w:lvlJc w:val="left"/>
      <w:lvlText w:val="•"/>
      <w:numFmt w:val="bullet"/>
      <w:start w:val="1"/>
    </w:lvl>
  </w:abstractNum>
  <w:abstractNum w:abstractNumId="4">
    <w:nsid w:val="746F2E30"/>
    <w:multiLevelType w:val="hybridMultilevel"/>
    <w:lvl w:ilvl="0">
      <w:lvlJc w:val="left"/>
      <w:lvlText w:val="•"/>
      <w:numFmt w:val="bullet"/>
      <w:start w:val="1"/>
    </w:lvl>
  </w:abstractNum>
  <w:abstractNum w:abstractNumId="5">
    <w:nsid w:val="6FDE8AF6"/>
    <w:multiLevelType w:val="hybridMultilevel"/>
    <w:lvl w:ilvl="0">
      <w:lvlJc w:val="left"/>
      <w:lvlText w:val="•"/>
      <w:numFmt w:val="bullet"/>
      <w:start w:val="1"/>
    </w:lvl>
  </w:abstractNum>
  <w:abstractNum w:abstractNumId="6">
    <w:nsid w:val="3FC32E20"/>
    <w:multiLevelType w:val="hybridMultilevel"/>
    <w:lvl w:ilvl="0">
      <w:lvlJc w:val="left"/>
      <w:lvlText w:val="•"/>
      <w:numFmt w:val="bullet"/>
      <w:start w:val="1"/>
    </w:lvl>
  </w:abstractNum>
  <w:abstractNum w:abstractNumId="7">
    <w:nsid w:val="49C0E823"/>
    <w:multiLevelType w:val="hybridMultilevel"/>
    <w:lvl w:ilvl="0">
      <w:lvlJc w:val="left"/>
      <w:lvlText w:val="•"/>
      <w:numFmt w:val="bullet"/>
      <w:start w:val="1"/>
    </w:lvl>
    <w:lvl w:ilvl="1">
      <w:lvlJc w:val="left"/>
      <w:lvlText w:val="•"/>
      <w:numFmt w:val="bullet"/>
      <w:start w:val="1"/>
    </w:lvl>
  </w:abstractNum>
  <w:abstractNum w:abstractNumId="8">
    <w:nsid w:val="14D53685"/>
    <w:multiLevelType w:val="hybridMultilevel"/>
    <w:lvl w:ilvl="0">
      <w:lvlJc w:val="left"/>
      <w:lvlText w:val="(%1)"/>
      <w:numFmt w:val="decimal"/>
      <w:start w:val="1"/>
    </w:lvl>
  </w:abstractNum>
  <w:abstractNum w:abstractNumId="9">
    <w:nsid w:val="230F856C"/>
    <w:multiLevelType w:val="hybridMultilevel"/>
    <w:lvl w:ilvl="0">
      <w:lvlJc w:val="left"/>
      <w:lvlText w:val="•"/>
      <w:numFmt w:val="bullet"/>
      <w:start w:val="1"/>
    </w:lvl>
  </w:abstractNum>
  <w:abstractNum w:abstractNumId="10">
    <w:nsid w:val="6EAA85FB"/>
    <w:multiLevelType w:val="hybridMultilevel"/>
    <w:lvl w:ilvl="0">
      <w:lvlJc w:val="left"/>
      <w:lvlText w:val="•"/>
      <w:numFmt w:val="bullet"/>
      <w:start w:val="1"/>
    </w:lvl>
  </w:abstractNum>
  <w:abstractNum w:abstractNumId="11">
    <w:nsid w:val="3F06ECB2"/>
    <w:multiLevelType w:val="hybridMultilevel"/>
    <w:lvl w:ilvl="0">
      <w:lvlJc w:val="left"/>
      <w:lvlText w:val="•"/>
      <w:numFmt w:val="bullet"/>
      <w:start w:val="1"/>
    </w:lvl>
  </w:abstractNum>
  <w:abstractNum w:abstractNumId="12">
    <w:nsid w:val="3B594807"/>
    <w:multiLevelType w:val="hybridMultilevel"/>
    <w:lvl w:ilvl="0">
      <w:lvlJc w:val="left"/>
      <w:lvlText w:val="•"/>
      <w:numFmt w:val="bullet"/>
      <w:start w:val="1"/>
    </w:lvl>
  </w:abstractNum>
  <w:abstractNum w:abstractNumId="13">
    <w:nsid w:val="6CAA2304"/>
    <w:multiLevelType w:val="hybridMultilevel"/>
    <w:lvl w:ilvl="0">
      <w:lvlJc w:val="left"/>
      <w:lvlText w:val="•"/>
      <w:numFmt w:val="bullet"/>
      <w:start w:val="1"/>
    </w:lvl>
  </w:abstractNum>
  <w:abstractNum w:abstractNumId="14">
    <w:nsid w:val="3F7C2FF4"/>
    <w:multiLevelType w:val="hybridMultilevel"/>
    <w:lvl w:ilvl="0">
      <w:lvlJc w:val="left"/>
      <w:lvlText w:val="•"/>
      <w:numFmt w:val="bullet"/>
      <w:start w:val="1"/>
    </w:lvl>
  </w:abstractNum>
  <w:abstractNum w:abstractNumId="15">
    <w:nsid w:val="25413BEC"/>
    <w:multiLevelType w:val="hybridMultilevel"/>
    <w:lvl w:ilvl="0">
      <w:lvlJc w:val="left"/>
      <w:lvlText w:val="•"/>
      <w:numFmt w:val="bullet"/>
      <w:start w:val="1"/>
    </w:lvl>
  </w:abstractNum>
  <w:abstractNum w:abstractNumId="16">
    <w:nsid w:val="17180B0B"/>
    <w:multiLevelType w:val="hybridMultilevel"/>
    <w:lvl w:ilvl="0">
      <w:lvlJc w:val="left"/>
      <w:lvlText w:val="•"/>
      <w:numFmt w:val="bullet"/>
      <w:start w:val="1"/>
    </w:lvl>
  </w:abstractNum>
  <w:abstractNum w:abstractNumId="17">
    <w:nsid w:val="579328B9"/>
    <w:multiLevelType w:val="hybridMultilevel"/>
    <w:lvl w:ilvl="0">
      <w:lvlJc w:val="left"/>
      <w:lvlText w:val="•"/>
      <w:numFmt w:val="bullet"/>
      <w:start w:val="1"/>
    </w:lvl>
  </w:abstractNum>
  <w:abstractNum w:abstractNumId="18">
    <w:nsid w:val="5D205E20"/>
    <w:multiLevelType w:val="hybridMultilevel"/>
    <w:lvl w:ilvl="0">
      <w:lvlJc w:val="left"/>
      <w:lvlText w:val="(%1)"/>
      <w:numFmt w:val="decimal"/>
      <w:start w:val="1"/>
    </w:lvl>
  </w:abstractNum>
  <w:abstractNum w:abstractNumId="19">
    <w:nsid w:val="11CCA8BA"/>
    <w:multiLevelType w:val="hybridMultilevel"/>
    <w:lvl w:ilvl="0">
      <w:lvlJc w:val="left"/>
      <w:lvlText w:val="•"/>
      <w:numFmt w:val="bullet"/>
      <w:start w:val="1"/>
    </w:lvl>
  </w:abstractNum>
  <w:abstractNum w:abstractNumId="20">
    <w:nsid w:val="4D32AB86"/>
    <w:multiLevelType w:val="hybridMultilevel"/>
    <w:lvl w:ilvl="0">
      <w:lvlJc w:val="left"/>
      <w:lvlText w:val="(%1)"/>
      <w:numFmt w:val="decimal"/>
      <w:start w:val="1"/>
    </w:lvl>
  </w:abstractNum>
  <w:abstractNum w:abstractNumId="21">
    <w:nsid w:val="3F07ACC3"/>
    <w:multiLevelType w:val="hybridMultilevel"/>
    <w:lvl w:ilvl="0">
      <w:lvlJc w:val="left"/>
      <w:lvlText w:val="•"/>
      <w:numFmt w:val="bullet"/>
      <w:start w:val="1"/>
    </w:lvl>
  </w:abstractNum>
  <w:abstractNum w:abstractNumId="22">
    <w:nsid w:val="6B47F63E"/>
    <w:multiLevelType w:val="hybridMultilevel"/>
    <w:lvl w:ilvl="0">
      <w:lvlJc w:val="left"/>
      <w:lvlText w:val="•"/>
      <w:numFmt w:val="bullet"/>
      <w:start w:val="1"/>
    </w:lvl>
  </w:abstractNum>
  <w:abstractNum w:abstractNumId="23">
    <w:nsid w:val="5CB44A05"/>
    <w:multiLevelType w:val="hybridMultilevel"/>
    <w:lvl w:ilvl="0">
      <w:lvlJc w:val="left"/>
      <w:lvlText w:val="•"/>
      <w:numFmt w:val="bullet"/>
      <w:start w:val="1"/>
    </w:lvl>
  </w:abstractNum>
  <w:abstractNum w:abstractNumId="24">
    <w:nsid w:val="16CF80F1"/>
    <w:multiLevelType w:val="hybridMultilevel"/>
    <w:lvl w:ilvl="0">
      <w:lvlJc w:val="left"/>
      <w:lvlText w:val="•"/>
      <w:numFmt w:val="bullet"/>
      <w:start w:val="1"/>
    </w:lvl>
  </w:abstractNum>
  <w:abstractNum w:abstractNumId="25">
    <w:nsid w:val="1C695DEC"/>
    <w:multiLevelType w:val="hybridMultilevel"/>
    <w:lvl w:ilvl="0">
      <w:lvlJc w:val="left"/>
      <w:lvlText w:val="•"/>
      <w:numFmt w:val="bullet"/>
      <w:start w:val="1"/>
    </w:lvl>
  </w:abstractNum>
  <w:abstractNum w:abstractNumId="26">
    <w:nsid w:val="3FCFAED9"/>
    <w:multiLevelType w:val="hybridMultilevel"/>
    <w:lvl w:ilvl="0">
      <w:lvlJc w:val="left"/>
      <w:lvlText w:val="•"/>
      <w:numFmt w:val="bullet"/>
      <w:start w:val="1"/>
    </w:lvl>
  </w:abstractNum>
  <w:abstractNum w:abstractNumId="27">
    <w:nsid w:val="F856867"/>
    <w:multiLevelType w:val="hybridMultilevel"/>
    <w:lvl w:ilvl="0">
      <w:lvlJc w:val="left"/>
      <w:lvlText w:val="•"/>
      <w:numFmt w:val="bullet"/>
      <w:start w:val="1"/>
    </w:lvl>
  </w:abstractNum>
  <w:abstractNum w:abstractNumId="28">
    <w:nsid w:val="11B1CC33"/>
    <w:multiLevelType w:val="hybridMultilevel"/>
    <w:lvl w:ilvl="0">
      <w:lvlJc w:val="left"/>
      <w:lvlText w:val="•"/>
      <w:numFmt w:val="bullet"/>
      <w:start w:val="1"/>
    </w:lvl>
  </w:abstractNum>
  <w:abstractNum w:abstractNumId="29">
    <w:nsid w:val="2E22FBB7"/>
    <w:multiLevelType w:val="hybridMultilevel"/>
    <w:lvl w:ilvl="0">
      <w:lvlJc w:val="left"/>
      <w:lvlText w:val="•"/>
      <w:numFmt w:val="bullet"/>
      <w:start w:val="1"/>
    </w:lvl>
  </w:abstractNum>
  <w:abstractNum w:abstractNumId="30">
    <w:nsid w:val="29934699"/>
    <w:multiLevelType w:val="hybridMultilevel"/>
    <w:lvl w:ilvl="0">
      <w:lvlJc w:val="left"/>
      <w:lvlText w:val="•"/>
      <w:numFmt w:val="bullet"/>
      <w:start w:val="1"/>
    </w:lvl>
  </w:abstractNum>
  <w:abstractNum w:abstractNumId="31">
    <w:nsid w:val="77485850"/>
    <w:multiLevelType w:val="hybridMultilevel"/>
    <w:lvl w:ilvl="0">
      <w:lvlJc w:val="left"/>
      <w:lvlText w:val="•"/>
      <w:numFmt w:val="bullet"/>
      <w:start w:val="1"/>
    </w:lvl>
  </w:abstractNum>
  <w:abstractNum w:abstractNumId="32">
    <w:nsid w:val="744939A3"/>
    <w:multiLevelType w:val="hybridMultilevel"/>
    <w:lvl w:ilvl="0">
      <w:lvlJc w:val="left"/>
      <w:lvlText w:val="•"/>
      <w:numFmt w:val="bullet"/>
      <w:start w:val="1"/>
    </w:lvl>
  </w:abstractNum>
  <w:abstractNum w:abstractNumId="33">
    <w:nsid w:val="4FA0D2E3"/>
    <w:multiLevelType w:val="hybridMultilevel"/>
    <w:lvl w:ilvl="0">
      <w:lvlJc w:val="left"/>
      <w:lvlText w:val="•"/>
      <w:numFmt w:val="bullet"/>
      <w:start w:val="1"/>
    </w:lvl>
  </w:abstractNum>
  <w:abstractNum w:abstractNumId="34">
    <w:nsid w:val="6B1D2C14"/>
    <w:multiLevelType w:val="hybridMultilevel"/>
    <w:lvl w:ilvl="0">
      <w:lvlJc w:val="left"/>
      <w:lvlText w:val="•"/>
      <w:numFmt w:val="bullet"/>
      <w:start w:val="1"/>
    </w:lvl>
  </w:abstractNum>
  <w:abstractNum w:abstractNumId="35">
    <w:nsid w:val="68B867D3"/>
    <w:multiLevelType w:val="hybridMultilevel"/>
    <w:lvl w:ilvl="0">
      <w:lvlJc w:val="left"/>
      <w:lvlText w:val="•"/>
      <w:numFmt w:val="bullet"/>
      <w:start w:val="1"/>
    </w:lvl>
  </w:abstractNum>
  <w:abstractNum w:abstractNumId="36">
    <w:nsid w:val="3F7F5DD9"/>
    <w:multiLevelType w:val="hybridMultilevel"/>
    <w:lvl w:ilvl="0">
      <w:lvlJc w:val="left"/>
      <w:lvlText w:val="(%1)"/>
      <w:numFmt w:val="lowerRoman"/>
      <w:start w:val="2"/>
    </w:lvl>
  </w:abstractNum>
  <w:abstractNum w:abstractNumId="37">
    <w:nsid w:val="2AE05A34"/>
    <w:multiLevelType w:val="hybridMultilevel"/>
    <w:lvl w:ilvl="0">
      <w:lvlJc w:val="left"/>
      <w:lvlText w:val="•"/>
      <w:numFmt w:val="bullet"/>
      <w:start w:val="1"/>
    </w:lvl>
  </w:abstractNum>
  <w:abstractNum w:abstractNumId="38">
    <w:nsid w:val="32794FF7"/>
    <w:multiLevelType w:val="hybridMultilevel"/>
    <w:lvl w:ilvl="0">
      <w:lvlJc w:val="left"/>
      <w:lvlText w:val="(%1)"/>
      <w:numFmt w:val="lowerRoman"/>
      <w:start w:val="5"/>
    </w:lvl>
  </w:abstractNum>
  <w:abstractNum w:abstractNumId="39">
    <w:nsid w:val="5454945E"/>
    <w:multiLevelType w:val="hybridMultilevel"/>
    <w:lvl w:ilvl="0">
      <w:lvlJc w:val="left"/>
      <w:lvlText w:val="•"/>
      <w:numFmt w:val="bullet"/>
      <w:start w:val="1"/>
    </w:lvl>
  </w:abstractNum>
  <w:abstractNum w:abstractNumId="40">
    <w:nsid w:val="4DEFDFA0"/>
    <w:multiLevelType w:val="hybridMultilevel"/>
    <w:lvl w:ilvl="0">
      <w:lvlJc w:val="left"/>
      <w:lvlText w:val="•"/>
      <w:numFmt w:val="bullet"/>
      <w:start w:val="1"/>
    </w:lvl>
  </w:abstractNum>
  <w:abstractNum w:abstractNumId="41">
    <w:nsid w:val="2123D5F2"/>
    <w:multiLevelType w:val="hybridMultilevel"/>
    <w:lvl w:ilvl="0">
      <w:lvlJc w:val="left"/>
      <w:lvlText w:val="•"/>
      <w:numFmt w:val="bullet"/>
      <w:start w:val="1"/>
    </w:lvl>
  </w:abstractNum>
  <w:abstractNum w:abstractNumId="42">
    <w:nsid w:val="135B8110"/>
    <w:multiLevelType w:val="hybridMultilevel"/>
    <w:lvl w:ilvl="0">
      <w:lvlJc w:val="left"/>
      <w:lvlText w:val="•"/>
      <w:numFmt w:val="bullet"/>
      <w:start w:val="1"/>
    </w:lvl>
  </w:abstractNum>
  <w:abstractNum w:abstractNumId="43">
    <w:nsid w:val="94927A8"/>
    <w:multiLevelType w:val="hybridMultilevel"/>
    <w:lvl w:ilvl="0">
      <w:lvlJc w:val="left"/>
      <w:lvlText w:val="•"/>
      <w:numFmt w:val="bullet"/>
      <w:start w:val="1"/>
    </w:lvl>
  </w:abstractNum>
  <w:abstractNum w:abstractNumId="44">
    <w:nsid w:val="DCDF8F6"/>
    <w:multiLevelType w:val="hybridMultilevel"/>
    <w:lvl w:ilvl="0">
      <w:lvlJc w:val="left"/>
      <w:lvlText w:val="(%1)"/>
      <w:numFmt w:val="lowerRoman"/>
      <w:start w:val="3"/>
    </w:lvl>
  </w:abstractNum>
  <w:abstractNum w:abstractNumId="45">
    <w:nsid w:val="52D7B105"/>
    <w:multiLevelType w:val="hybridMultilevel"/>
    <w:lvl w:ilvl="0">
      <w:lvlJc w:val="left"/>
      <w:lvlText w:val="(%1)"/>
      <w:numFmt w:val="decimal"/>
      <w:start w:val="1"/>
    </w:lvl>
  </w:abstractNum>
  <w:abstractNum w:abstractNumId="46">
    <w:nsid w:val="2E8A6394"/>
    <w:multiLevelType w:val="hybridMultilevel"/>
    <w:lvl w:ilvl="0">
      <w:lvlJc w:val="left"/>
      <w:lvlText w:val="(%1)"/>
      <w:numFmt w:val="decimal"/>
      <w:start w:val="3"/>
    </w:lvl>
  </w:abstractNum>
  <w:abstractNum w:abstractNumId="47">
    <w:nsid w:val="24E60401"/>
    <w:multiLevelType w:val="hybridMultilevel"/>
    <w:lvl w:ilvl="0">
      <w:lvlJc w:val="left"/>
      <w:lvlText w:val="•"/>
      <w:numFmt w:val="bullet"/>
      <w:start w:val="1"/>
    </w:lvl>
  </w:abstractNum>
  <w:abstractNum w:abstractNumId="48">
    <w:nsid w:val="2A6AD9BE"/>
    <w:multiLevelType w:val="hybridMultilevel"/>
    <w:lvl w:ilvl="0">
      <w:lvlJc w:val="left"/>
      <w:lvlText w:val="•"/>
      <w:numFmt w:val="bullet"/>
      <w:start w:val="1"/>
    </w:lvl>
  </w:abstractNum>
  <w:abstractNum w:abstractNumId="49">
    <w:nsid w:val="BAAC1B4"/>
    <w:multiLevelType w:val="hybridMultilevel"/>
    <w:lvl w:ilvl="0">
      <w:lvlJc w:val="left"/>
      <w:lvlText w:val="•"/>
      <w:numFmt w:val="bullet"/>
      <w:start w:val="1"/>
    </w:lvl>
  </w:abstractNum>
  <w:abstractNum w:abstractNumId="50">
    <w:nsid w:val="36B2ACBC"/>
    <w:multiLevelType w:val="hybridMultilevel"/>
    <w:lvl w:ilvl="0">
      <w:lvlJc w:val="left"/>
      <w:lvlText w:val="(%1)"/>
      <w:numFmt w:val="decimal"/>
      <w:start w:val="1"/>
    </w:lvl>
  </w:abstractNum>
  <w:abstractNum w:abstractNumId="51">
    <w:nsid w:val="779D8544"/>
    <w:multiLevelType w:val="hybridMultilevel"/>
    <w:lvl w:ilvl="0">
      <w:lvlJc w:val="left"/>
      <w:lvlText w:val="(%1)"/>
      <w:numFmt w:val="lowerRoman"/>
      <w:start w:val="3"/>
    </w:lvl>
  </w:abstractNum>
  <w:abstractNum w:abstractNumId="52">
    <w:nsid w:val="4AB26E78"/>
    <w:multiLevelType w:val="hybridMultilevel"/>
    <w:lvl w:ilvl="0">
      <w:lvlJc w:val="left"/>
      <w:lvlText w:val="(%1)"/>
      <w:numFmt w:val="lowerRoman"/>
      <w:start w:val="5"/>
    </w:lvl>
  </w:abstractNum>
  <w:abstractNum w:abstractNumId="53">
    <w:nsid w:val="21FAA2FA"/>
    <w:multiLevelType w:val="hybridMultilevel"/>
    <w:lvl w:ilvl="0">
      <w:lvlJc w:val="left"/>
      <w:lvlText w:val="(%1)"/>
      <w:numFmt w:val="lowerRoman"/>
      <w:start w:val="2"/>
    </w:lvl>
  </w:abstractNum>
  <w:abstractNum w:abstractNumId="54">
    <w:nsid w:val="5451CF49"/>
    <w:multiLevelType w:val="hybridMultilevel"/>
    <w:lvl w:ilvl="0">
      <w:lvlJc w:val="left"/>
      <w:lvlText w:val="•"/>
      <w:numFmt w:val="bullet"/>
      <w:start w:val="1"/>
    </w:lvl>
  </w:abstractNum>
  <w:abstractNum w:abstractNumId="55">
    <w:nsid w:val="6181EF69"/>
    <w:multiLevelType w:val="hybridMultilevel"/>
    <w:lvl w:ilvl="0">
      <w:lvlJc w:val="left"/>
      <w:lvlText w:val="(%1)"/>
      <w:numFmt w:val="decimal"/>
      <w:start w:val="1"/>
    </w:lvl>
  </w:abstractNum>
  <w:abstractNum w:abstractNumId="56">
    <w:nsid w:val="3E6400E6"/>
    <w:multiLevelType w:val="hybridMultilevel"/>
    <w:lvl w:ilvl="0">
      <w:lvlJc w:val="left"/>
      <w:lvlText w:val="(%1)"/>
      <w:numFmt w:val="decimal"/>
      <w:start w:val="1"/>
    </w:lvl>
  </w:abstractNum>
  <w:abstractNum w:abstractNumId="57">
    <w:nsid w:val="14217E23"/>
    <w:multiLevelType w:val="hybridMultilevel"/>
    <w:lvl w:ilvl="0">
      <w:lvlJc w:val="left"/>
      <w:lvlText w:val="•"/>
      <w:numFmt w:val="bullet"/>
      <w:start w:val="1"/>
    </w:lvl>
  </w:abstractNum>
  <w:abstractNum w:abstractNumId="58">
    <w:nsid w:val="710757D0"/>
    <w:multiLevelType w:val="hybridMultilevel"/>
    <w:lvl w:ilvl="0">
      <w:lvlJc w:val="left"/>
      <w:lvlText w:val="•"/>
      <w:numFmt w:val="bullet"/>
      <w:start w:val="1"/>
    </w:lvl>
  </w:abstractNum>
  <w:abstractNum w:abstractNumId="59">
    <w:nsid w:val="5015CD1A"/>
    <w:multiLevelType w:val="hybridMultilevel"/>
    <w:lvl w:ilvl="0">
      <w:lvlJc w:val="left"/>
      <w:lvlText w:val="•"/>
      <w:numFmt w:val="bullet"/>
      <w:start w:val="1"/>
    </w:lvl>
  </w:abstractNum>
  <w:abstractNum w:abstractNumId="60">
    <w:nsid w:val="424479DA"/>
    <w:multiLevelType w:val="hybridMultilevel"/>
    <w:lvl w:ilvl="0">
      <w:lvlJc w:val="left"/>
      <w:lvlText w:val="•"/>
      <w:numFmt w:val="bullet"/>
      <w:start w:val="1"/>
    </w:lvl>
  </w:abstractNum>
  <w:abstractNum w:abstractNumId="61">
    <w:nsid w:val="1A9A9E69"/>
    <w:multiLevelType w:val="hybridMultilevel"/>
    <w:lvl w:ilvl="0">
      <w:lvlJc w:val="left"/>
      <w:lvlText w:val="(%1)"/>
      <w:numFmt w:val="decimal"/>
      <w:start w:val="1"/>
    </w:lvl>
  </w:abstractNum>
  <w:abstractNum w:abstractNumId="62">
    <w:nsid w:val="475E256A"/>
    <w:multiLevelType w:val="hybridMultilevel"/>
    <w:lvl w:ilvl="0">
      <w:lvlJc w:val="left"/>
      <w:lvlText w:val="•"/>
      <w:numFmt w:val="bullet"/>
      <w:start w:val="1"/>
    </w:lvl>
  </w:abstractNum>
  <w:abstractNum w:abstractNumId="63">
    <w:nsid w:val="368DB37E"/>
    <w:multiLevelType w:val="hybridMultilevel"/>
    <w:lvl w:ilvl="0">
      <w:lvlJc w:val="left"/>
      <w:lvlText w:val="•"/>
      <w:numFmt w:val="bullet"/>
      <w:start w:val="1"/>
    </w:lvl>
  </w:abstractNum>
  <w:abstractNum w:abstractNumId="64">
    <w:nsid w:val="6A3B714C"/>
    <w:multiLevelType w:val="hybridMultilevel"/>
    <w:lvl w:ilvl="0">
      <w:lvlJc w:val="left"/>
      <w:lvlText w:val="•"/>
      <w:numFmt w:val="bullet"/>
      <w:start w:val="1"/>
    </w:lvl>
  </w:abstractNum>
  <w:abstractNum w:abstractNumId="65">
    <w:nsid w:val="327B517E"/>
    <w:multiLevelType w:val="hybridMultilevel"/>
    <w:lvl w:ilvl="0">
      <w:lvlJc w:val="left"/>
      <w:lvlText w:val="•"/>
      <w:numFmt w:val="bullet"/>
      <w:start w:val="1"/>
    </w:lvl>
  </w:abstractNum>
  <w:abstractNum w:abstractNumId="66">
    <w:nsid w:val="1F461B51"/>
    <w:multiLevelType w:val="hybridMultilevel"/>
    <w:lvl w:ilvl="0">
      <w:lvlJc w:val="left"/>
      <w:lvlText w:val="•"/>
      <w:numFmt w:val="bullet"/>
      <w:start w:val="1"/>
    </w:lvl>
  </w:abstractNum>
  <w:abstractNum w:abstractNumId="67">
    <w:nsid w:val="29BACF25"/>
    <w:multiLevelType w:val="hybridMultilevel"/>
    <w:lvl w:ilvl="0">
      <w:lvlJc w:val="left"/>
      <w:lvlText w:val="•"/>
      <w:numFmt w:val="bullet"/>
      <w:start w:val="1"/>
    </w:lvl>
  </w:abstractNum>
  <w:abstractNum w:abstractNumId="68">
    <w:nsid w:val="5D5BABB3"/>
    <w:multiLevelType w:val="hybridMultilevel"/>
    <w:lvl w:ilvl="0">
      <w:lvlJc w:val="left"/>
      <w:lvlText w:val="•"/>
      <w:numFmt w:val="bullet"/>
      <w:start w:val="1"/>
    </w:lvl>
  </w:abstractNum>
  <w:abstractNum w:abstractNumId="69">
    <w:nsid w:val="51BF6B48"/>
    <w:multiLevelType w:val="hybridMultilevel"/>
    <w:lvl w:ilvl="0">
      <w:lvlJc w:val="left"/>
      <w:lvlText w:val="•"/>
      <w:numFmt w:val="bullet"/>
      <w:start w:val="1"/>
    </w:lvl>
  </w:abstractNum>
  <w:abstractNum w:abstractNumId="70">
    <w:nsid w:val="7E0F6384"/>
    <w:multiLevelType w:val="hybridMultilevel"/>
    <w:lvl w:ilvl="0">
      <w:lvlJc w:val="left"/>
      <w:lvlText w:val="•"/>
      <w:numFmt w:val="bullet"/>
      <w:start w:val="1"/>
    </w:lvl>
  </w:abstractNum>
  <w:abstractNum w:abstractNumId="71">
    <w:nsid w:val="2B4B8B53"/>
    <w:multiLevelType w:val="hybridMultilevel"/>
    <w:lvl w:ilvl="0">
      <w:lvlJc w:val="left"/>
      <w:lvlText w:val="•"/>
      <w:numFmt w:val="bullet"/>
      <w:start w:val="1"/>
    </w:lvl>
  </w:abstractNum>
  <w:abstractNum w:abstractNumId="72">
    <w:nsid w:val="72E3413A"/>
    <w:multiLevelType w:val="hybridMultilevel"/>
    <w:lvl w:ilvl="0">
      <w:lvlJc w:val="left"/>
      <w:lvlText w:val="•"/>
      <w:numFmt w:val="bullet"/>
      <w:start w:val="1"/>
    </w:lvl>
    <w:lvl w:ilvl="1">
      <w:lvlJc w:val="left"/>
      <w:lvlText w:val="¡"/>
      <w:numFmt w:val="bullet"/>
      <w:start w:val="1"/>
    </w:lvl>
  </w:abstractNum>
  <w:abstractNum w:abstractNumId="73">
    <w:nsid w:val="116AE494"/>
    <w:multiLevelType w:val="hybridMultilevel"/>
    <w:lvl w:ilvl="0">
      <w:lvlJc w:val="left"/>
      <w:lvlText w:val="•"/>
      <w:numFmt w:val="bullet"/>
      <w:start w:val="1"/>
    </w:lvl>
  </w:abstractNum>
  <w:abstractNum w:abstractNumId="74">
    <w:nsid w:val="3494B2FB"/>
    <w:multiLevelType w:val="hybridMultilevel"/>
    <w:lvl w:ilvl="0">
      <w:lvlJc w:val="left"/>
      <w:lvlText w:val="(%1)"/>
      <w:numFmt w:val="decimal"/>
      <w:start w:val="1"/>
    </w:lvl>
  </w:abstractNum>
  <w:abstractNum w:abstractNumId="75">
    <w:nsid w:val="B13A31"/>
    <w:multiLevelType w:val="hybridMultilevel"/>
    <w:lvl w:ilvl="0">
      <w:lvlJc w:val="left"/>
      <w:lvlText w:val="•"/>
      <w:numFmt w:val="bullet"/>
      <w:start w:val="1"/>
    </w:lvl>
  </w:abstractNum>
  <w:abstractNum w:abstractNumId="76">
    <w:nsid w:val="64429599"/>
    <w:multiLevelType w:val="hybridMultilevel"/>
    <w:lvl w:ilvl="0">
      <w:lvlJc w:val="left"/>
      <w:lvlText w:val="•"/>
      <w:numFmt w:val="bullet"/>
      <w:start w:val="1"/>
    </w:lvl>
  </w:abstractNum>
  <w:abstractNum w:abstractNumId="77">
    <w:nsid w:val="631F1690"/>
    <w:multiLevelType w:val="hybridMultilevel"/>
    <w:lvl w:ilvl="0">
      <w:lvlJc w:val="left"/>
      <w:lvlText w:val="•"/>
      <w:numFmt w:val="bullet"/>
      <w:start w:val="1"/>
    </w:lvl>
  </w:abstractNum>
  <w:abstractNum w:abstractNumId="78">
    <w:nsid w:val="25973E32"/>
    <w:multiLevelType w:val="hybridMultilevel"/>
    <w:lvl w:ilvl="0">
      <w:lvlJc w:val="left"/>
      <w:lvlText w:val="•"/>
      <w:numFmt w:val="bullet"/>
      <w:start w:val="1"/>
    </w:lvl>
  </w:abstractNum>
  <w:abstractNum w:abstractNumId="79">
    <w:nsid w:val="EAD6F57"/>
    <w:multiLevelType w:val="hybridMultilevel"/>
    <w:lvl w:ilvl="0">
      <w:lvlJc w:val="left"/>
      <w:lvlText w:val="•"/>
      <w:numFmt w:val="bullet"/>
      <w:start w:val="1"/>
    </w:lvl>
  </w:abstractNum>
  <w:abstractNum w:abstractNumId="80">
    <w:nsid w:val="6EC9D844"/>
    <w:multiLevelType w:val="hybridMultilevel"/>
    <w:lvl w:ilvl="0">
      <w:lvlJc w:val="left"/>
      <w:lvlText w:val="(%1)"/>
      <w:numFmt w:val="lowerLetter"/>
      <w:start w:val="1"/>
    </w:lvl>
  </w:abstractNum>
  <w:abstractNum w:abstractNumId="81">
    <w:nsid w:val="5C49EAEE"/>
    <w:multiLevelType w:val="hybridMultilevel"/>
    <w:lvl w:ilvl="0">
      <w:lvlJc w:val="left"/>
      <w:lvlText w:val="(%1)"/>
      <w:numFmt w:val="lowerLetter"/>
      <w:start w:val="4"/>
    </w:lvl>
  </w:abstractNum>
  <w:abstractNum w:abstractNumId="82">
    <w:nsid w:val="64AF49B"/>
    <w:multiLevelType w:val="hybridMultilevel"/>
    <w:lvl w:ilvl="0">
      <w:lvlJc w:val="left"/>
      <w:lvlText w:val="(%1)"/>
      <w:numFmt w:val="lowerRoman"/>
      <w:start w:val="2"/>
    </w:lvl>
  </w:abstractNum>
  <w:abstractNum w:abstractNumId="83">
    <w:nsid w:val="397C46BC"/>
    <w:multiLevelType w:val="hybridMultilevel"/>
    <w:lvl w:ilvl="0">
      <w:lvlJc w:val="left"/>
      <w:lvlText w:val="(%1)"/>
      <w:numFmt w:val="lowerRoman"/>
      <w:start w:val="2"/>
    </w:lvl>
  </w:abstractNum>
  <w:abstractNum w:abstractNumId="84">
    <w:nsid w:val="7E448DE9"/>
    <w:multiLevelType w:val="hybridMultilevel"/>
    <w:lvl w:ilvl="0">
      <w:lvlJc w:val="left"/>
      <w:lvlText w:val="(%1)"/>
      <w:numFmt w:val="lowerRoman"/>
      <w:start w:val="5"/>
    </w:lvl>
  </w:abstractNum>
  <w:abstractNum w:abstractNumId="85">
    <w:nsid w:val="5A9CC3E5"/>
    <w:multiLevelType w:val="hybridMultilevel"/>
    <w:lvl w:ilvl="0">
      <w:lvlJc w:val="left"/>
      <w:lvlText w:val="(%1)"/>
      <w:numFmt w:val="lowerRoman"/>
      <w:start w:val="7"/>
    </w:lvl>
  </w:abstractNum>
  <w:abstractNum w:abstractNumId="86">
    <w:nsid w:val="1AFE3625"/>
    <w:multiLevelType w:val="hybridMultilevel"/>
    <w:lvl w:ilvl="0">
      <w:lvlJc w:val="left"/>
      <w:lvlText w:val="(%1)"/>
      <w:numFmt w:val="decimal"/>
      <w:start w:val="1"/>
    </w:lvl>
  </w:abstractNum>
  <w:abstractNum w:abstractNumId="87">
    <w:nsid w:val="3CA88ECF"/>
    <w:multiLevelType w:val="hybridMultilevel"/>
    <w:lvl w:ilvl="0">
      <w:lvlJc w:val="left"/>
      <w:lvlText w:val="(%1)"/>
      <w:numFmt w:val="decimal"/>
      <w:start w:val="1"/>
    </w:lvl>
  </w:abstractNum>
  <w:abstractNum w:abstractNumId="88">
    <w:nsid w:val="6EBE4208"/>
    <w:multiLevelType w:val="hybridMultilevel"/>
    <w:lvl w:ilvl="0">
      <w:lvlJc w:val="left"/>
      <w:lvlText w:val="*"/>
      <w:numFmt w:val="bullet"/>
      <w:start w:val="1"/>
    </w:lvl>
  </w:abstractNum>
  <w:abstractNum w:abstractNumId="89">
    <w:nsid w:val="C058DF5"/>
    <w:multiLevelType w:val="hybridMultilevel"/>
    <w:lvl w:ilvl="0">
      <w:lvlJc w:val="left"/>
      <w:lvlText w:val="•"/>
      <w:numFmt w:val="bullet"/>
      <w:start w:val="1"/>
    </w:lvl>
  </w:abstractNum>
  <w:abstractNum w:abstractNumId="90">
    <w:nsid w:val="CBE5BE9"/>
    <w:multiLevelType w:val="hybridMultilevel"/>
    <w:lvl w:ilvl="0">
      <w:lvlJc w:val="left"/>
      <w:lvlText w:val="•"/>
      <w:numFmt w:val="bullet"/>
      <w:start w:val="1"/>
    </w:lvl>
  </w:abstractNum>
  <w:abstractNum w:abstractNumId="91">
    <w:nsid w:val="3102BBE2"/>
    <w:multiLevelType w:val="hybridMultilevel"/>
    <w:lvl w:ilvl="0">
      <w:lvlJc w:val="left"/>
      <w:lvlText w:val="•"/>
      <w:numFmt w:val="bullet"/>
      <w:start w:val="1"/>
    </w:lvl>
  </w:abstractNum>
  <w:abstractNum w:abstractNumId="92">
    <w:nsid w:val="26A02C5E"/>
    <w:multiLevelType w:val="hybridMultilevel"/>
    <w:lvl w:ilvl="0">
      <w:lvlJc w:val="left"/>
      <w:lvlText w:val="•"/>
      <w:numFmt w:val="bullet"/>
      <w:start w:val="1"/>
    </w:lvl>
  </w:abstractNum>
  <w:abstractNum w:abstractNumId="93">
    <w:nsid w:val="541C8153"/>
    <w:multiLevelType w:val="hybridMultilevel"/>
    <w:lvl w:ilvl="0">
      <w:lvlJc w:val="left"/>
      <w:lvlText w:val="(%1)"/>
      <w:numFmt w:val="lowerRoman"/>
      <w:start w:val="1"/>
    </w:lvl>
  </w:abstractNum>
  <w:abstractNum w:abstractNumId="94">
    <w:nsid w:val="67906F60"/>
    <w:multiLevelType w:val="hybridMultilevel"/>
    <w:lvl w:ilvl="0">
      <w:lvlJc w:val="left"/>
      <w:lvlText w:val="(%1)"/>
      <w:numFmt w:val="lowerRoman"/>
      <w:start w:val="2"/>
    </w:lvl>
  </w:abstractNum>
  <w:abstractNum w:abstractNumId="95">
    <w:nsid w:val="10DB9DAA"/>
    <w:multiLevelType w:val="hybridMultilevel"/>
    <w:lvl w:ilvl="0">
      <w:lvlJc w:val="left"/>
      <w:lvlText w:val="(%1)"/>
      <w:numFmt w:val="lowerRoman"/>
      <w:start w:val="6"/>
    </w:lvl>
  </w:abstractNum>
  <w:abstractNum w:abstractNumId="96">
    <w:nsid w:val="697D2D2"/>
    <w:multiLevelType w:val="hybridMultilevel"/>
    <w:lvl w:ilvl="0">
      <w:lvlJc w:val="left"/>
      <w:lvlText w:val="*"/>
      <w:numFmt w:val="bullet"/>
      <w:start w:val="1"/>
    </w:lvl>
  </w:abstractNum>
  <w:abstractNum w:abstractNumId="97">
    <w:nsid w:val="6D68AB2"/>
    <w:multiLevelType w:val="hybridMultilevel"/>
    <w:lvl w:ilvl="0">
      <w:lvlJc w:val="left"/>
      <w:lvlText w:val="(%1)"/>
      <w:numFmt w:val="decimal"/>
      <w:start w:val="1"/>
    </w:lvl>
  </w:abstractNum>
  <w:abstractNum w:abstractNumId="98">
    <w:nsid w:val="3A966CD0"/>
    <w:multiLevelType w:val="hybridMultilevel"/>
    <w:lvl w:ilvl="0">
      <w:lvlJc w:val="left"/>
      <w:lvlText w:val="•"/>
      <w:numFmt w:val="bullet"/>
      <w:start w:val="1"/>
    </w:lvl>
  </w:abstractNum>
  <w:abstractNum w:abstractNumId="99">
    <w:nsid w:val="63F37E85"/>
    <w:multiLevelType w:val="hybridMultilevel"/>
    <w:lvl w:ilvl="0">
      <w:lvlJc w:val="left"/>
      <w:lvlText w:val="*"/>
      <w:numFmt w:val="bullet"/>
      <w:start w:val="1"/>
    </w:lvl>
  </w:abstractNum>
  <w:abstractNum w:abstractNumId="100">
    <w:nsid w:val="5895F5FA"/>
    <w:multiLevelType w:val="hybridMultilevel"/>
    <w:lvl w:ilvl="0">
      <w:lvlJc w:val="left"/>
      <w:lvlText w:val="**"/>
      <w:numFmt w:val="bullet"/>
      <w:start w:val="1"/>
    </w:lvl>
  </w:abstractNum>
  <w:abstractNum w:abstractNumId="101">
    <w:nsid w:val="38A5D054"/>
    <w:multiLevelType w:val="hybridMultilevel"/>
    <w:lvl w:ilvl="0">
      <w:lvlJc w:val="left"/>
      <w:lvlText w:val="†"/>
      <w:numFmt w:val="bullet"/>
      <w:start w:val="1"/>
    </w:lvl>
  </w:abstractNum>
  <w:abstractNum w:abstractNumId="102">
    <w:nsid w:val="F3F09D8"/>
    <w:multiLevelType w:val="hybridMultilevel"/>
    <w:lvl w:ilvl="0">
      <w:lvlJc w:val="left"/>
      <w:lvlText w:val="††"/>
      <w:numFmt w:val="bullet"/>
      <w:start w:val="1"/>
    </w:lvl>
  </w:abstractNum>
  <w:abstractNum w:abstractNumId="103">
    <w:nsid w:val="4B793735"/>
    <w:multiLevelType w:val="hybridMultilevel"/>
    <w:lvl w:ilvl="0">
      <w:lvlJc w:val="left"/>
      <w:lvlText w:val="(%1)"/>
      <w:numFmt w:val="decimal"/>
      <w:start w:val="1"/>
    </w:lvl>
  </w:abstractNum>
  <w:abstractNum w:abstractNumId="104">
    <w:nsid w:val="4A10B4E8"/>
    <w:multiLevelType w:val="hybridMultilevel"/>
    <w:lvl w:ilvl="0">
      <w:lvlJc w:val="left"/>
      <w:lvlText w:val="(%1)"/>
      <w:numFmt w:val="decimal"/>
      <w:start w:val="6"/>
    </w:lvl>
  </w:abstractNum>
  <w:abstractNum w:abstractNumId="105">
    <w:nsid w:val="43D3BCD4"/>
    <w:multiLevelType w:val="hybridMultilevel"/>
    <w:lvl w:ilvl="0">
      <w:lvlJc w:val="left"/>
      <w:lvlText w:val="•"/>
      <w:numFmt w:val="bullet"/>
      <w:start w:val="1"/>
    </w:lvl>
  </w:abstractNum>
  <w:abstractNum w:abstractNumId="106">
    <w:nsid w:val="4C2A7166"/>
    <w:multiLevelType w:val="hybridMultilevel"/>
    <w:lvl w:ilvl="0">
      <w:lvlJc w:val="left"/>
      <w:lvlText w:val="•"/>
      <w:numFmt w:val="bullet"/>
      <w:start w:val="1"/>
    </w:lvl>
  </w:abstractNum>
  <w:abstractNum w:abstractNumId="107">
    <w:nsid w:val="2E534A82"/>
    <w:multiLevelType w:val="hybridMultilevel"/>
    <w:lvl w:ilvl="0">
      <w:lvlJc w:val="left"/>
      <w:lvlText w:val="•"/>
      <w:numFmt w:val="bullet"/>
      <w:start w:val="1"/>
    </w:lvl>
  </w:abstractNum>
  <w:abstractNum w:abstractNumId="108">
    <w:nsid w:val="26F2D364"/>
    <w:multiLevelType w:val="hybridMultilevel"/>
    <w:lvl w:ilvl="0">
      <w:lvlJc w:val="left"/>
      <w:lvlText w:val="•"/>
      <w:numFmt w:val="bullet"/>
      <w:start w:val="1"/>
    </w:lvl>
  </w:abstractNum>
  <w:abstractNum w:abstractNumId="109">
    <w:nsid w:val="71C1AF98"/>
    <w:multiLevelType w:val="hybridMultilevel"/>
    <w:lvl w:ilvl="0">
      <w:lvlJc w:val="left"/>
      <w:lvlText w:val="•"/>
      <w:numFmt w:val="bullet"/>
      <w:start w:val="1"/>
    </w:lvl>
  </w:abstractNum>
  <w:abstractNum w:abstractNumId="110">
    <w:nsid w:val="3D00B9D9"/>
    <w:multiLevelType w:val="hybridMultilevel"/>
    <w:lvl w:ilvl="0">
      <w:lvlJc w:val="left"/>
      <w:lvlText w:val="•"/>
      <w:numFmt w:val="bullet"/>
      <w:start w:val="1"/>
    </w:lvl>
  </w:abstractNum>
  <w:abstractNum w:abstractNumId="111">
    <w:nsid w:val="15BCABA8"/>
    <w:multiLevelType w:val="hybridMultilevel"/>
    <w:lvl w:ilvl="0">
      <w:lvlJc w:val="left"/>
      <w:lvlText w:val="(%1)"/>
      <w:numFmt w:val="lowerRoman"/>
      <w:start w:val="5"/>
    </w:lvl>
  </w:abstractNum>
  <w:abstractNum w:abstractNumId="112">
    <w:nsid w:val="4E0B9A87"/>
    <w:multiLevelType w:val="hybridMultilevel"/>
    <w:lvl w:ilvl="0">
      <w:lvlJc w:val="left"/>
      <w:lvlText w:val="•"/>
      <w:numFmt w:val="bullet"/>
      <w:start w:val="1"/>
    </w:lvl>
  </w:abstractNum>
  <w:abstractNum w:abstractNumId="113">
    <w:nsid w:val="434BAE75"/>
    <w:multiLevelType w:val="hybridMultilevel"/>
    <w:lvl w:ilvl="0">
      <w:lvlJc w:val="left"/>
      <w:lvlText w:val="•"/>
      <w:numFmt w:val="bullet"/>
      <w:start w:val="1"/>
    </w:lvl>
  </w:abstractNum>
  <w:abstractNum w:abstractNumId="114">
    <w:nsid w:val="4F38F265"/>
    <w:multiLevelType w:val="hybridMultilevel"/>
    <w:lvl w:ilvl="0">
      <w:lvlJc w:val="left"/>
      <w:lvlText w:val="•"/>
      <w:numFmt w:val="bullet"/>
      <w:start w:val="1"/>
    </w:lvl>
  </w:abstractNum>
  <w:abstractNum w:abstractNumId="115">
    <w:nsid w:val="4C502870"/>
    <w:multiLevelType w:val="hybridMultilevel"/>
    <w:lvl w:ilvl="0">
      <w:lvlJc w:val="left"/>
      <w:lvlText w:val="•"/>
      <w:numFmt w:val="bullet"/>
      <w:start w:val="1"/>
    </w:lvl>
  </w:abstractNum>
  <w:abstractNum w:abstractNumId="116">
    <w:nsid w:val="1DE8725A"/>
    <w:multiLevelType w:val="hybridMultilevel"/>
    <w:lvl w:ilvl="0">
      <w:lvlJc w:val="left"/>
      <w:lvlText w:val="•"/>
      <w:numFmt w:val="bullet"/>
      <w:start w:val="1"/>
    </w:lvl>
  </w:abstractNum>
  <w:abstractNum w:abstractNumId="117">
    <w:nsid w:val="6A37288A"/>
    <w:multiLevelType w:val="hybridMultilevel"/>
    <w:lvl w:ilvl="0">
      <w:lvlJc w:val="left"/>
      <w:lvlText w:val="•"/>
      <w:numFmt w:val="bullet"/>
      <w:start w:val="1"/>
    </w:lvl>
  </w:abstractNum>
  <w:abstractNum w:abstractNumId="118">
    <w:nsid w:val="8F8B73F"/>
    <w:multiLevelType w:val="hybridMultilevel"/>
    <w:lvl w:ilvl="0">
      <w:lvlJc w:val="left"/>
      <w:lvlText w:val="•"/>
      <w:numFmt w:val="bullet"/>
      <w:start w:val="1"/>
    </w:lvl>
  </w:abstractNum>
  <w:abstractNum w:abstractNumId="119">
    <w:nsid w:val="CA6B462"/>
    <w:multiLevelType w:val="hybridMultilevel"/>
    <w:lvl w:ilvl="0">
      <w:lvlJc w:val="left"/>
      <w:lvlText w:val="•"/>
      <w:numFmt w:val="bullet"/>
      <w:start w:val="1"/>
    </w:lvl>
  </w:abstractNum>
  <w:abstractNum w:abstractNumId="120">
    <w:nsid w:val="763CB680"/>
    <w:multiLevelType w:val="hybridMultilevel"/>
    <w:lvl w:ilvl="0">
      <w:lvlJc w:val="left"/>
      <w:lvlText w:val="•"/>
      <w:numFmt w:val="bullet"/>
      <w:start w:val="1"/>
    </w:lvl>
  </w:abstractNum>
  <w:abstractNum w:abstractNumId="121">
    <w:nsid w:val="15B71329"/>
    <w:multiLevelType w:val="hybridMultilevel"/>
    <w:lvl w:ilvl="0">
      <w:lvlJc w:val="left"/>
      <w:lvlText w:val="(%1)"/>
      <w:numFmt w:val="lowerRoman"/>
      <w:start w:val="2"/>
    </w:lvl>
  </w:abstractNum>
  <w:abstractNum w:abstractNumId="122">
    <w:nsid w:val="3DA97044"/>
    <w:multiLevelType w:val="hybridMultilevel"/>
    <w:lvl w:ilvl="0">
      <w:lvlJc w:val="left"/>
      <w:lvlText w:val="•"/>
      <w:numFmt w:val="bullet"/>
      <w:start w:val="1"/>
    </w:lvl>
    <w:lvl w:ilvl="1">
      <w:lvlJc w:val="left"/>
      <w:lvlText w:val="(%2)"/>
      <w:numFmt w:val="lowerRoman"/>
      <w:start w:val="2"/>
    </w:lvl>
  </w:abstractNum>
  <w:abstractNum w:abstractNumId="123">
    <w:nsid w:val="1CDCE2DE"/>
    <w:multiLevelType w:val="hybridMultilevel"/>
    <w:lvl w:ilvl="0">
      <w:lvlJc w:val="left"/>
      <w:lvlText w:val="•"/>
      <w:numFmt w:val="bullet"/>
      <w:start w:val="1"/>
    </w:lvl>
  </w:abstractNum>
  <w:abstractNum w:abstractNumId="124">
    <w:nsid w:val="69D3947C"/>
    <w:multiLevelType w:val="hybridMultilevel"/>
    <w:lvl w:ilvl="0">
      <w:lvlJc w:val="left"/>
      <w:lvlText w:val="•"/>
      <w:numFmt w:val="bullet"/>
      <w:start w:val="1"/>
    </w:lvl>
  </w:abstractNum>
  <w:abstractNum w:abstractNumId="125">
    <w:nsid w:val="2539DFA5"/>
    <w:multiLevelType w:val="hybridMultilevel"/>
    <w:lvl w:ilvl="0">
      <w:lvlJc w:val="left"/>
      <w:lvlText w:val="•"/>
      <w:numFmt w:val="bullet"/>
      <w:start w:val="1"/>
    </w:lvl>
  </w:abstractNum>
  <w:abstractNum w:abstractNumId="126">
    <w:nsid w:val="2DB88089"/>
    <w:multiLevelType w:val="hybridMultilevel"/>
    <w:lvl w:ilvl="0">
      <w:lvlJc w:val="left"/>
      <w:lvlText w:val="•"/>
      <w:numFmt w:val="bullet"/>
      <w:start w:val="1"/>
    </w:lvl>
  </w:abstractNum>
  <w:abstractNum w:abstractNumId="127">
    <w:nsid w:val="706B674E"/>
    <w:multiLevelType w:val="hybridMultilevel"/>
    <w:lvl w:ilvl="0">
      <w:lvlJc w:val="left"/>
      <w:lvlText w:val="•"/>
      <w:numFmt w:val="bullet"/>
      <w:start w:val="1"/>
    </w:lvl>
  </w:abstractNum>
  <w:abstractNum w:abstractNumId="128">
    <w:nsid w:val="2C106A57"/>
    <w:multiLevelType w:val="hybridMultilevel"/>
    <w:lvl w:ilvl="0">
      <w:lvlJc w:val="left"/>
      <w:lvlText w:val="•"/>
      <w:numFmt w:val="bullet"/>
      <w:start w:val="1"/>
    </w:lvl>
  </w:abstractNum>
  <w:abstractNum w:abstractNumId="129">
    <w:nsid w:val="684EED59"/>
    <w:multiLevelType w:val="hybridMultilevel"/>
    <w:lvl w:ilvl="0">
      <w:lvlJc w:val="left"/>
      <w:lvlText w:val="•"/>
      <w:numFmt w:val="bullet"/>
      <w:start w:val="1"/>
    </w:lvl>
  </w:abstractNum>
  <w:abstractNum w:abstractNumId="130">
    <w:nsid w:val="545EE5D3"/>
    <w:multiLevelType w:val="hybridMultilevel"/>
    <w:lvl w:ilvl="0">
      <w:lvlJc w:val="left"/>
      <w:lvlText w:val="•"/>
      <w:numFmt w:val="bullet"/>
      <w:start w:val="1"/>
    </w:lvl>
  </w:abstractNum>
  <w:abstractNum w:abstractNumId="131">
    <w:nsid w:val="4A66051"/>
    <w:multiLevelType w:val="hybridMultilevel"/>
    <w:lvl w:ilvl="0">
      <w:lvlJc w:val="left"/>
      <w:lvlText w:val="•"/>
      <w:numFmt w:val="bullet"/>
      <w:start w:val="1"/>
    </w:lvl>
  </w:abstractNum>
  <w:abstractNum w:abstractNumId="132">
    <w:nsid w:val="20F4BDAD"/>
    <w:multiLevelType w:val="hybridMultilevel"/>
    <w:lvl w:ilvl="0">
      <w:lvlJc w:val="left"/>
      <w:lvlText w:val="•"/>
      <w:numFmt w:val="bullet"/>
      <w:start w:val="1"/>
    </w:lvl>
  </w:abstractNum>
  <w:abstractNum w:abstractNumId="133">
    <w:nsid w:val="639DEFAC"/>
    <w:multiLevelType w:val="hybridMultilevel"/>
    <w:lvl w:ilvl="0">
      <w:lvlJc w:val="left"/>
      <w:lvlText w:val="•"/>
      <w:numFmt w:val="bullet"/>
      <w:start w:val="1"/>
    </w:lvl>
  </w:abstractNum>
  <w:abstractNum w:abstractNumId="134">
    <w:nsid w:val="501F9786"/>
    <w:multiLevelType w:val="hybridMultilevel"/>
    <w:lvl w:ilvl="0">
      <w:lvlJc w:val="left"/>
      <w:lvlText w:val="•"/>
      <w:numFmt w:val="bullet"/>
      <w:start w:val="1"/>
    </w:lvl>
  </w:abstractNum>
  <w:abstractNum w:abstractNumId="135">
    <w:nsid w:val="6B057295"/>
    <w:multiLevelType w:val="hybridMultilevel"/>
    <w:lvl w:ilvl="0">
      <w:lvlJc w:val="left"/>
      <w:lvlText w:val="•"/>
      <w:numFmt w:val="bullet"/>
      <w:start w:val="1"/>
    </w:lvl>
  </w:abstractNum>
  <w:abstractNum w:abstractNumId="136">
    <w:nsid w:val="2771AC80"/>
    <w:multiLevelType w:val="hybridMultilevel"/>
    <w:lvl w:ilvl="0">
      <w:lvlJc w:val="left"/>
      <w:lvlText w:val="•"/>
      <w:numFmt w:val="bullet"/>
      <w:start w:val="1"/>
    </w:lvl>
  </w:abstractNum>
  <w:abstractNum w:abstractNumId="137">
    <w:nsid w:val="1C4A08EC"/>
    <w:multiLevelType w:val="hybridMultilevel"/>
    <w:lvl w:ilvl="0">
      <w:lvlJc w:val="left"/>
      <w:lvlText w:val="•"/>
      <w:numFmt w:val="bullet"/>
      <w:start w:val="1"/>
    </w:lvl>
  </w:abstractNum>
  <w:abstractNum w:abstractNumId="138">
    <w:nsid w:val="1958BD17"/>
    <w:multiLevelType w:val="hybridMultilevel"/>
    <w:lvl w:ilvl="0">
      <w:lvlJc w:val="left"/>
      <w:lvlText w:val="•"/>
      <w:numFmt w:val="bullet"/>
      <w:start w:val="1"/>
    </w:lvl>
  </w:abstractNum>
  <w:abstractNum w:abstractNumId="139">
    <w:nsid w:val="4E647FE4"/>
    <w:multiLevelType w:val="hybridMultilevel"/>
    <w:lvl w:ilvl="0">
      <w:lvlJc w:val="left"/>
      <w:lvlText w:val="•"/>
      <w:numFmt w:val="bullet"/>
      <w:start w:val="1"/>
    </w:lvl>
  </w:abstractNum>
  <w:abstractNum w:abstractNumId="140">
    <w:nsid w:val="E0BB885"/>
    <w:multiLevelType w:val="hybridMultilevel"/>
    <w:lvl w:ilvl="0">
      <w:lvlJc w:val="left"/>
      <w:lvlText w:val="•"/>
      <w:numFmt w:val="bullet"/>
      <w:start w:val="1"/>
    </w:lvl>
  </w:abstractNum>
  <w:abstractNum w:abstractNumId="141">
    <w:nsid w:val="565976F1"/>
    <w:multiLevelType w:val="hybridMultilevel"/>
    <w:lvl w:ilvl="0">
      <w:lvlJc w:val="left"/>
      <w:lvlText w:val="•"/>
      <w:numFmt w:val="bullet"/>
      <w:start w:val="1"/>
    </w:lvl>
    <w:lvl w:ilvl="1">
      <w:lvlJc w:val="left"/>
      <w:lvlText w:val="(%2)"/>
      <w:numFmt w:val="lowerRoman"/>
      <w:start w:val="1"/>
    </w:lvl>
  </w:abstractNum>
  <w:abstractNum w:abstractNumId="142">
    <w:nsid w:val="64212B8C"/>
    <w:multiLevelType w:val="hybridMultilevel"/>
    <w:lvl w:ilvl="0">
      <w:lvlJc w:val="left"/>
      <w:lvlText w:val="•"/>
      <w:numFmt w:val="bullet"/>
      <w:start w:val="1"/>
    </w:lvl>
  </w:abstractNum>
  <w:abstractNum w:abstractNumId="143">
    <w:nsid w:val="5C17530C"/>
    <w:multiLevelType w:val="hybridMultilevel"/>
    <w:lvl w:ilvl="0">
      <w:lvlJc w:val="left"/>
      <w:lvlText w:val="•"/>
      <w:numFmt w:val="bullet"/>
      <w:start w:val="1"/>
    </w:lvl>
  </w:abstractNum>
  <w:abstractNum w:abstractNumId="144">
    <w:nsid w:val="19A52566"/>
    <w:multiLevelType w:val="hybridMultilevel"/>
    <w:lvl w:ilvl="0">
      <w:lvlJc w:val="left"/>
      <w:lvlText w:val="•"/>
      <w:numFmt w:val="bullet"/>
      <w:start w:val="1"/>
    </w:lvl>
  </w:abstractNum>
  <w:abstractNum w:abstractNumId="145">
    <w:nsid w:val="335A1DF1"/>
    <w:multiLevelType w:val="hybridMultilevel"/>
    <w:lvl w:ilvl="0">
      <w:lvlJc w:val="left"/>
      <w:lvlText w:val="(%1)"/>
      <w:numFmt w:val="decimal"/>
      <w:start w:val="1"/>
    </w:lvl>
  </w:abstractNum>
  <w:abstractNum w:abstractNumId="146">
    <w:nsid w:val="28677B7C"/>
    <w:multiLevelType w:val="hybridMultilevel"/>
    <w:lvl w:ilvl="0">
      <w:lvlJc w:val="left"/>
      <w:lvlText w:val="%1."/>
      <w:numFmt w:val="decimal"/>
      <w:start w:val="1"/>
    </w:lvl>
  </w:abstractNum>
  <w:abstractNum w:abstractNumId="147">
    <w:nsid w:val="378D97C0"/>
    <w:multiLevelType w:val="hybridMultilevel"/>
    <w:lvl w:ilvl="0">
      <w:lvlJc w:val="left"/>
      <w:lvlText w:val="%1."/>
      <w:numFmt w:val="decimal"/>
      <w:start w:val="2"/>
    </w:lvl>
  </w:abstractNum>
  <w:abstractNum w:abstractNumId="148">
    <w:nsid w:val="1D91467C"/>
    <w:multiLevelType w:val="hybridMultilevel"/>
    <w:lvl w:ilvl="0">
      <w:lvlJc w:val="left"/>
      <w:lvlText w:val="%1."/>
      <w:numFmt w:val="decimal"/>
      <w:start w:val="2"/>
    </w:lvl>
  </w:abstractNum>
  <w:abstractNum w:abstractNumId="149">
    <w:nsid w:val="316032BB"/>
    <w:multiLevelType w:val="hybridMultilevel"/>
    <w:lvl w:ilvl="0">
      <w:lvlJc w:val="left"/>
      <w:lvlText w:val="%1."/>
      <w:numFmt w:val="decimal"/>
      <w:start w:val="2"/>
    </w:lvl>
  </w:abstractNum>
  <w:abstractNum w:abstractNumId="150">
    <w:nsid w:val="44344C22"/>
    <w:multiLevelType w:val="hybridMultilevel"/>
    <w:lvl w:ilvl="0">
      <w:lvlJc w:val="left"/>
      <w:lvlText w:val="(%1)"/>
      <w:numFmt w:val="lowerRoman"/>
      <w:start w:val="5"/>
    </w:lvl>
  </w:abstractNum>
  <w:abstractNum w:abstractNumId="151">
    <w:nsid w:val="13CDFCFC"/>
    <w:multiLevelType w:val="hybridMultilevel"/>
    <w:lvl w:ilvl="0">
      <w:lvlJc w:val="left"/>
      <w:lvlText w:val="%1."/>
      <w:numFmt w:val="decimal"/>
      <w:start w:val="2"/>
    </w:lvl>
  </w:abstractNum>
  <w:abstractNum w:abstractNumId="152">
    <w:nsid w:val="471745E4"/>
    <w:multiLevelType w:val="hybridMultilevel"/>
    <w:lvl w:ilvl="0">
      <w:lvlJc w:val="left"/>
      <w:lvlText w:val="%1."/>
      <w:numFmt w:val="decimal"/>
      <w:start w:val="2"/>
    </w:lvl>
  </w:abstractNum>
  <w:abstractNum w:abstractNumId="153">
    <w:nsid w:val="1DDBC66"/>
    <w:multiLevelType w:val="hybridMultilevel"/>
    <w:lvl w:ilvl="0">
      <w:lvlJc w:val="left"/>
      <w:lvlText w:val="%1."/>
      <w:numFmt w:val="decimal"/>
      <w:start w:val="2"/>
    </w:lvl>
  </w:abstractNum>
  <w:abstractNum w:abstractNumId="154">
    <w:nsid w:val="30AADFDA"/>
    <w:multiLevelType w:val="hybridMultilevel"/>
    <w:lvl w:ilvl="0">
      <w:lvlJc w:val="left"/>
      <w:lvlText w:val="%1."/>
      <w:numFmt w:val="decimal"/>
      <w:start w:val="2"/>
    </w:lvl>
  </w:abstractNum>
  <w:abstractNum w:abstractNumId="155">
    <w:nsid w:val="30EADA61"/>
    <w:multiLevelType w:val="hybridMultilevel"/>
    <w:lvl w:ilvl="0">
      <w:lvlJc w:val="left"/>
      <w:lvlText w:val="(%1)"/>
      <w:numFmt w:val="decimal"/>
      <w:start w:val="2"/>
    </w:lvl>
  </w:abstractNum>
  <w:abstractNum w:abstractNumId="156">
    <w:nsid w:val="27179C0B"/>
    <w:multiLevelType w:val="hybridMultilevel"/>
    <w:lvl w:ilvl="0">
      <w:lvlJc w:val="left"/>
      <w:lvlText w:val="%1."/>
      <w:numFmt w:val="decimal"/>
      <w:start w:val="2"/>
    </w:lvl>
  </w:abstractNum>
  <w:abstractNum w:abstractNumId="157">
    <w:nsid w:val="5E636063"/>
    <w:multiLevelType w:val="hybridMultilevel"/>
    <w:lvl w:ilvl="0">
      <w:lvlJc w:val="left"/>
      <w:lvlText w:val="%1."/>
      <w:numFmt w:val="decimal"/>
      <w:start w:val="2"/>
    </w:lvl>
  </w:abstractNum>
  <w:abstractNum w:abstractNumId="158">
    <w:nsid w:val="215641AF"/>
    <w:multiLevelType w:val="hybridMultilevel"/>
    <w:lvl w:ilvl="0">
      <w:lvlJc w:val="left"/>
      <w:lvlText w:val="%1."/>
      <w:numFmt w:val="decimal"/>
      <w:start w:val="2"/>
    </w:lvl>
  </w:abstractNum>
  <w:abstractNum w:abstractNumId="159">
    <w:nsid w:val="53280662"/>
    <w:multiLevelType w:val="hybridMultilevel"/>
    <w:lvl w:ilvl="0">
      <w:lvlJc w:val="left"/>
      <w:lvlText w:val="%1."/>
      <w:numFmt w:val="decimal"/>
      <w:start w:val="2"/>
    </w:lvl>
  </w:abstractNum>
  <w:abstractNum w:abstractNumId="160">
    <w:nsid w:val="46B24DBC"/>
    <w:multiLevelType w:val="hybridMultilevel"/>
    <w:lvl w:ilvl="0">
      <w:lvlJc w:val="left"/>
      <w:lvlText w:val="%1."/>
      <w:numFmt w:val="decimal"/>
      <w:start w:val="2"/>
    </w:lvl>
  </w:abstractNum>
  <w:abstractNum w:abstractNumId="161">
    <w:nsid w:val="75B52783"/>
    <w:multiLevelType w:val="hybridMultilevel"/>
    <w:lvl w:ilvl="0">
      <w:lvlJc w:val="left"/>
      <w:lvlText w:val="%1."/>
      <w:numFmt w:val="decimal"/>
      <w:start w:val="2"/>
    </w:lvl>
  </w:abstractNum>
  <w:abstractNum w:abstractNumId="162">
    <w:nsid w:val="57CE66B4"/>
    <w:multiLevelType w:val="hybridMultilevel"/>
    <w:lvl w:ilvl="0">
      <w:lvlJc w:val="left"/>
      <w:lvlText w:val="%1."/>
      <w:numFmt w:val="decimal"/>
      <w:start w:val="2"/>
    </w:lvl>
  </w:abstractNum>
  <w:abstractNum w:abstractNumId="163">
    <w:nsid w:val="67A70B69"/>
    <w:multiLevelType w:val="hybridMultilevel"/>
    <w:lvl w:ilvl="0">
      <w:lvlJc w:val="left"/>
      <w:lvlText w:val="%1."/>
      <w:numFmt w:val="decimal"/>
      <w:start w:val="2"/>
    </w:lvl>
  </w:abstractNum>
  <w:abstractNum w:abstractNumId="164">
    <w:nsid w:val="5953172F"/>
    <w:multiLevelType w:val="hybridMultilevel"/>
    <w:lvl w:ilvl="0">
      <w:lvlJc w:val="left"/>
      <w:lvlText w:val="%1."/>
      <w:numFmt w:val="decimal"/>
      <w:start w:val="2"/>
    </w:lvl>
  </w:abstractNum>
  <w:abstractNum w:abstractNumId="165">
    <w:nsid w:val="27EDFE3A"/>
    <w:multiLevelType w:val="hybridMultilevel"/>
    <w:lvl w:ilvl="0">
      <w:lvlJc w:val="left"/>
      <w:lvlText w:val="%1."/>
      <w:numFmt w:val="decimal"/>
      <w:start w:val="2"/>
    </w:lvl>
  </w:abstractNum>
  <w:abstractNum w:abstractNumId="166">
    <w:nsid w:val="52AC7DFF"/>
    <w:multiLevelType w:val="hybridMultilevel"/>
    <w:lvl w:ilvl="0">
      <w:lvlJc w:val="left"/>
      <w:lvlText w:val="%1."/>
      <w:numFmt w:val="decimal"/>
      <w:start w:val="2"/>
    </w:lvl>
  </w:abstractNum>
  <w:abstractNum w:abstractNumId="167">
    <w:nsid w:val="C4C3AF"/>
    <w:multiLevelType w:val="hybridMultilevel"/>
    <w:lvl w:ilvl="0">
      <w:lvlJc w:val="left"/>
      <w:lvlText w:val="%1."/>
      <w:numFmt w:val="decimal"/>
      <w:start w:val="2"/>
    </w:lvl>
  </w:abstractNum>
  <w:abstractNum w:abstractNumId="168">
    <w:nsid w:val="44380727"/>
    <w:multiLevelType w:val="hybridMultilevel"/>
    <w:lvl w:ilvl="0">
      <w:lvlJc w:val="left"/>
      <w:lvlText w:val="%1."/>
      <w:numFmt w:val="decimal"/>
      <w:start w:val="2"/>
    </w:lvl>
  </w:abstractNum>
  <w:abstractNum w:abstractNumId="169">
    <w:nsid w:val="6C053B16"/>
    <w:multiLevelType w:val="hybridMultilevel"/>
    <w:lvl w:ilvl="0">
      <w:lvlJc w:val="left"/>
      <w:lvlText w:val="%1."/>
      <w:numFmt w:val="decimal"/>
      <w:start w:val="3"/>
    </w:lvl>
  </w:abstractNum>
  <w:abstractNum w:abstractNumId="170">
    <w:nsid w:val="4F294393"/>
    <w:multiLevelType w:val="hybridMultilevel"/>
    <w:lvl w:ilvl="0">
      <w:lvlJc w:val="left"/>
      <w:lvlText w:val="%1."/>
      <w:numFmt w:val="decimal"/>
      <w:start w:val="4"/>
    </w:lvl>
  </w:abstractNum>
  <w:abstractNum w:abstractNumId="171">
    <w:nsid w:val="5243BFAC"/>
    <w:multiLevelType w:val="hybridMultilevel"/>
    <w:lvl w:ilvl="0">
      <w:lvlJc w:val="left"/>
      <w:lvlText w:val="(%1)"/>
      <w:numFmt w:val="decimal"/>
      <w:start w:val="1"/>
    </w:lvl>
  </w:abstractNum>
  <w:abstractNum w:abstractNumId="172">
    <w:nsid w:val="425EB207"/>
    <w:multiLevelType w:val="hybridMultilevel"/>
    <w:lvl w:ilvl="0">
      <w:lvlJc w:val="left"/>
      <w:lvlText w:val="%1."/>
      <w:numFmt w:val="decimal"/>
      <w:start w:val="5"/>
    </w:lvl>
  </w:abstractNum>
  <w:abstractNum w:abstractNumId="173">
    <w:nsid w:val="334A6F1F"/>
    <w:multiLevelType w:val="hybridMultilevel"/>
    <w:lvl w:ilvl="0">
      <w:lvlJc w:val="left"/>
      <w:lvlText w:val="%1."/>
      <w:numFmt w:val="decimal"/>
      <w:start w:val="5"/>
    </w:lvl>
  </w:abstractNum>
  <w:abstractNum w:abstractNumId="174">
    <w:nsid w:val="2E5B12B8"/>
    <w:multiLevelType w:val="hybridMultilevel"/>
    <w:lvl w:ilvl="0">
      <w:lvlJc w:val="left"/>
      <w:lvlText w:val="%1."/>
      <w:numFmt w:val="decimal"/>
      <w:start w:val="6"/>
    </w:lvl>
  </w:abstractNum>
  <w:abstractNum w:abstractNumId="175">
    <w:nsid w:val="5C03D76D"/>
    <w:multiLevelType w:val="hybridMultilevel"/>
    <w:lvl w:ilvl="0">
      <w:lvlJc w:val="left"/>
      <w:lvlText w:val="%1."/>
      <w:numFmt w:val="decimal"/>
      <w:start w:val="7"/>
    </w:lvl>
  </w:abstractNum>
  <w:abstractNum w:abstractNumId="176">
    <w:nsid w:val="66A48D11"/>
    <w:multiLevelType w:val="hybridMultilevel"/>
    <w:lvl w:ilvl="0">
      <w:lvlJc w:val="left"/>
      <w:lvlText w:val="(%1)"/>
      <w:numFmt w:val="decimal"/>
      <w:start w:val="1"/>
    </w:lvl>
  </w:abstractNum>
  <w:abstractNum w:abstractNumId="177">
    <w:nsid w:val="56C28E34"/>
    <w:multiLevelType w:val="hybridMultilevel"/>
    <w:lvl w:ilvl="0">
      <w:lvlJc w:val="left"/>
      <w:lvlText w:val="%1."/>
      <w:numFmt w:val="decimal"/>
      <w:start w:val="7"/>
    </w:lvl>
  </w:abstractNum>
  <w:abstractNum w:abstractNumId="178">
    <w:nsid w:val="13916F2D"/>
    <w:multiLevelType w:val="hybridMultilevel"/>
    <w:lvl w:ilvl="0">
      <w:lvlJc w:val="left"/>
      <w:lvlText w:val="(%1)"/>
      <w:numFmt w:val="decimal"/>
      <w:start w:val="1"/>
    </w:lvl>
  </w:abstractNum>
  <w:abstractNum w:abstractNumId="179">
    <w:nsid w:val="435D38D"/>
    <w:multiLevelType w:val="hybridMultilevel"/>
    <w:lvl w:ilvl="0">
      <w:lvlJc w:val="left"/>
      <w:lvlText w:val="%1."/>
      <w:numFmt w:val="decimal"/>
      <w:start w:val="8"/>
    </w:lvl>
  </w:abstractNum>
  <w:abstractNum w:abstractNumId="180">
    <w:nsid w:val="822C0EF"/>
    <w:multiLevelType w:val="hybridMultilevel"/>
    <w:lvl w:ilvl="0">
      <w:lvlJc w:val="left"/>
      <w:lvlText w:val="%1."/>
      <w:numFmt w:val="decimal"/>
      <w:start w:val="8"/>
    </w:lvl>
  </w:abstractNum>
  <w:abstractNum w:abstractNumId="181">
    <w:nsid w:val="57C5BB4F"/>
    <w:multiLevelType w:val="hybridMultilevel"/>
    <w:lvl w:ilvl="0">
      <w:lvlJc w:val="left"/>
      <w:lvlText w:val="%1."/>
      <w:numFmt w:val="decimal"/>
      <w:start w:val="10"/>
    </w:lvl>
  </w:abstractNum>
  <w:abstractNum w:abstractNumId="182">
    <w:nsid w:val="1803D089"/>
    <w:multiLevelType w:val="hybridMultilevel"/>
    <w:lvl w:ilvl="0">
      <w:lvlJc w:val="left"/>
      <w:lvlText w:val="(%1)"/>
      <w:numFmt w:val="decimal"/>
      <w:start w:val="1"/>
    </w:lvl>
  </w:abstractNum>
  <w:abstractNum w:abstractNumId="183">
    <w:nsid w:val="4F3A06D4"/>
    <w:multiLevelType w:val="hybridMultilevel"/>
    <w:lvl w:ilvl="0">
      <w:lvlJc w:val="left"/>
      <w:lvlText w:val="%1."/>
      <w:numFmt w:val="decimal"/>
      <w:start w:val="11"/>
    </w:lvl>
  </w:abstractNum>
  <w:abstractNum w:abstractNumId="184">
    <w:nsid w:val="59A377B6"/>
    <w:multiLevelType w:val="hybridMultilevel"/>
    <w:lvl w:ilvl="0">
      <w:lvlJc w:val="left"/>
      <w:lvlText w:val="%1)"/>
      <w:numFmt w:val="lowerLetter"/>
      <w:start w:val="2"/>
    </w:lvl>
  </w:abstractNum>
  <w:abstractNum w:abstractNumId="185">
    <w:nsid w:val="48AEB063"/>
    <w:multiLevelType w:val="hybridMultilevel"/>
    <w:lvl w:ilvl="0">
      <w:lvlJc w:val="left"/>
      <w:lvlText w:val="%1."/>
      <w:numFmt w:val="decimal"/>
      <w:start w:val="11"/>
    </w:lvl>
  </w:abstractNum>
  <w:abstractNum w:abstractNumId="186">
    <w:nsid w:val="24E135"/>
    <w:multiLevelType w:val="hybridMultilevel"/>
    <w:lvl w:ilvl="0">
      <w:lvlJc w:val="left"/>
      <w:lvlText w:val="%1."/>
      <w:numFmt w:val="decimal"/>
      <w:start w:val="11"/>
    </w:lvl>
  </w:abstractNum>
  <w:abstractNum w:abstractNumId="187">
    <w:nsid w:val="BB13C1"/>
    <w:multiLevelType w:val="hybridMultilevel"/>
    <w:lvl w:ilvl="0">
      <w:lvlJc w:val="left"/>
      <w:lvlText w:val="%1."/>
      <w:numFmt w:val="decimal"/>
      <w:start w:val="12"/>
    </w:lvl>
  </w:abstractNum>
  <w:abstractNum w:abstractNumId="188">
    <w:nsid w:val="271210C7"/>
    <w:multiLevelType w:val="hybridMultilevel"/>
    <w:lvl w:ilvl="0">
      <w:lvlJc w:val="left"/>
      <w:lvlText w:val="%1."/>
      <w:numFmt w:val="decimal"/>
      <w:start w:val="13"/>
    </w:lvl>
  </w:abstractNum>
  <w:abstractNum w:abstractNumId="189">
    <w:nsid w:val="217B22E4"/>
    <w:multiLevelType w:val="hybridMultilevel"/>
    <w:lvl w:ilvl="0">
      <w:lvlJc w:val="left"/>
      <w:lvlText w:val="%1."/>
      <w:numFmt w:val="decimal"/>
      <w:start w:val="13"/>
    </w:lvl>
  </w:abstractNum>
  <w:abstractNum w:abstractNumId="190">
    <w:nsid w:val="53E31A24"/>
    <w:multiLevelType w:val="hybridMultilevel"/>
    <w:lvl w:ilvl="0">
      <w:lvlJc w:val="left"/>
      <w:lvlText w:val="%1."/>
      <w:numFmt w:val="decimal"/>
      <w:start w:val="13"/>
    </w:lvl>
  </w:abstractNum>
  <w:abstractNum w:abstractNumId="191">
    <w:nsid w:val="6DC45E83"/>
    <w:multiLevelType w:val="hybridMultilevel"/>
    <w:lvl w:ilvl="0">
      <w:lvlJc w:val="left"/>
      <w:lvlText w:val="(%1)"/>
      <w:numFmt w:val="decimal"/>
      <w:start w:val="2"/>
    </w:lvl>
  </w:abstractNum>
  <w:abstractNum w:abstractNumId="192">
    <w:nsid w:val="17304A67"/>
    <w:multiLevelType w:val="hybridMultilevel"/>
    <w:lvl w:ilvl="0">
      <w:lvlJc w:val="left"/>
      <w:lvlText w:val="%1."/>
      <w:numFmt w:val="decimal"/>
      <w:start w:val="13"/>
    </w:lvl>
  </w:abstractNum>
  <w:abstractNum w:abstractNumId="193">
    <w:nsid w:val="2BB180D8"/>
    <w:multiLevelType w:val="hybridMultilevel"/>
    <w:lvl w:ilvl="0">
      <w:lvlJc w:val="left"/>
      <w:lvlText w:val="%1."/>
      <w:numFmt w:val="decimal"/>
      <w:start w:val="14"/>
    </w:lvl>
  </w:abstractNum>
  <w:abstractNum w:abstractNumId="194">
    <w:nsid w:val="556B69ED"/>
    <w:multiLevelType w:val="hybridMultilevel"/>
    <w:lvl w:ilvl="0">
      <w:lvlJc w:val="left"/>
      <w:lvlText w:val="%1."/>
      <w:numFmt w:val="decimal"/>
      <w:start w:val="14"/>
    </w:lvl>
  </w:abstractNum>
  <w:abstractNum w:abstractNumId="195">
    <w:nsid w:val="70836196"/>
    <w:multiLevelType w:val="hybridMultilevel"/>
    <w:lvl w:ilvl="0">
      <w:lvlJc w:val="left"/>
      <w:lvlText w:val="%1."/>
      <w:numFmt w:val="decimal"/>
      <w:start w:val="14"/>
    </w:lvl>
  </w:abstractNum>
  <w:abstractNum w:abstractNumId="196">
    <w:nsid w:val="539F7F12"/>
    <w:multiLevelType w:val="hybridMultilevel"/>
    <w:lvl w:ilvl="0">
      <w:lvlJc w:val="left"/>
      <w:lvlText w:val="%1."/>
      <w:numFmt w:val="decimal"/>
      <w:start w:val="15"/>
    </w:lvl>
  </w:abstractNum>
  <w:abstractNum w:abstractNumId="197">
    <w:nsid w:val="2817E7EC"/>
    <w:multiLevelType w:val="hybridMultilevel"/>
    <w:lvl w:ilvl="0">
      <w:lvlJc w:val="left"/>
      <w:lvlText w:val="%1."/>
      <w:numFmt w:val="decimal"/>
      <w:start w:val="16"/>
    </w:lvl>
  </w:abstractNum>
  <w:abstractNum w:abstractNumId="198">
    <w:nsid w:val="71482545"/>
    <w:multiLevelType w:val="hybridMultilevel"/>
    <w:lvl w:ilvl="0">
      <w:lvlJc w:val="left"/>
      <w:lvlText w:val="%1."/>
      <w:numFmt w:val="decimal"/>
      <w:start w:val="17"/>
    </w:lvl>
  </w:abstractNum>
  <w:abstractNum w:abstractNumId="199">
    <w:nsid w:val="17D78639"/>
    <w:multiLevelType w:val="hybridMultilevel"/>
    <w:lvl w:ilvl="0">
      <w:lvlJc w:val="left"/>
      <w:lvlText w:val="%1."/>
      <w:numFmt w:val="decimal"/>
      <w:start w:val="17"/>
    </w:lvl>
  </w:abstractNum>
  <w:abstractNum w:abstractNumId="200">
    <w:nsid w:val="141D2302"/>
    <w:multiLevelType w:val="hybridMultilevel"/>
    <w:lvl w:ilvl="0">
      <w:lvlJc w:val="left"/>
      <w:lvlText w:val="(%1)"/>
      <w:numFmt w:val="decimal"/>
      <w:start w:val="1"/>
    </w:lvl>
  </w:abstractNum>
  <w:abstractNum w:abstractNumId="201">
    <w:nsid w:val="407168D8"/>
    <w:multiLevelType w:val="hybridMultilevel"/>
    <w:lvl w:ilvl="0">
      <w:lvlJc w:val="left"/>
      <w:lvlText w:val="%1."/>
      <w:numFmt w:val="decimal"/>
      <w:start w:val="18"/>
    </w:lvl>
  </w:abstractNum>
  <w:abstractNum w:abstractNumId="202">
    <w:nsid w:val="6A1B45E5"/>
    <w:multiLevelType w:val="hybridMultilevel"/>
    <w:lvl w:ilvl="0">
      <w:lvlJc w:val="left"/>
      <w:lvlText w:val="%1."/>
      <w:numFmt w:val="decimal"/>
      <w:start w:val="19"/>
    </w:lvl>
  </w:abstractNum>
  <w:abstractNum w:abstractNumId="203">
    <w:nsid w:val="567BD50A"/>
    <w:multiLevelType w:val="hybridMultilevel"/>
    <w:lvl w:ilvl="0">
      <w:lvlJc w:val="left"/>
      <w:lvlText w:val="%1."/>
      <w:numFmt w:val="decimal"/>
      <w:start w:val="19"/>
    </w:lvl>
  </w:abstractNum>
  <w:abstractNum w:abstractNumId="204">
    <w:nsid w:val="73BBD7F8"/>
    <w:multiLevelType w:val="hybridMultilevel"/>
    <w:lvl w:ilvl="0">
      <w:lvlJc w:val="left"/>
      <w:lvlText w:val="%1."/>
      <w:numFmt w:val="decimal"/>
      <w:start w:val="1"/>
    </w:lvl>
  </w:abstractNum>
  <w:abstractNum w:abstractNumId="205">
    <w:nsid w:val="1876589D"/>
    <w:multiLevelType w:val="hybridMultilevel"/>
    <w:lvl w:ilvl="0">
      <w:lvlJc w:val="left"/>
      <w:lvlText w:val="%1."/>
      <w:numFmt w:val="decimal"/>
      <w:start w:val="2"/>
    </w:lvl>
  </w:abstractNum>
  <w:abstractNum w:abstractNumId="206">
    <w:nsid w:val="327FAC77"/>
    <w:multiLevelType w:val="hybridMultilevel"/>
    <w:lvl w:ilvl="0">
      <w:lvlJc w:val="left"/>
      <w:lvlText w:val="%1."/>
      <w:numFmt w:val="decimal"/>
      <w:start w:val="2"/>
    </w:lvl>
  </w:abstractNum>
  <w:abstractNum w:abstractNumId="207">
    <w:nsid w:val="5A606509"/>
    <w:multiLevelType w:val="hybridMultilevel"/>
    <w:lvl w:ilvl="0">
      <w:lvlJc w:val="left"/>
      <w:lvlText w:val="%1."/>
      <w:numFmt w:val="decimal"/>
      <w:start w:val="2"/>
    </w:lvl>
  </w:abstractNum>
  <w:abstractNum w:abstractNumId="208">
    <w:nsid w:val="6F38E6D1"/>
    <w:multiLevelType w:val="hybridMultilevel"/>
    <w:lvl w:ilvl="0">
      <w:lvlJc w:val="left"/>
      <w:lvlText w:val="%1."/>
      <w:numFmt w:val="decimal"/>
      <w:start w:val="2"/>
    </w:lvl>
  </w:abstractNum>
  <w:abstractNum w:abstractNumId="209">
    <w:nsid w:val="46111BA5"/>
    <w:multiLevelType w:val="hybridMultilevel"/>
    <w:lvl w:ilvl="0">
      <w:lvlJc w:val="left"/>
      <w:lvlText w:val="%1."/>
      <w:numFmt w:val="decimal"/>
      <w:start w:val="2"/>
    </w:lvl>
  </w:abstractNum>
  <w:abstractNum w:abstractNumId="210">
    <w:nsid w:val="5E963896"/>
    <w:multiLevelType w:val="hybridMultilevel"/>
    <w:lvl w:ilvl="0">
      <w:lvlJc w:val="left"/>
      <w:lvlText w:val="%1."/>
      <w:numFmt w:val="decimal"/>
      <w:start w:val="2"/>
    </w:lvl>
  </w:abstractNum>
  <w:abstractNum w:abstractNumId="211">
    <w:nsid w:val="775BA7C1"/>
    <w:multiLevelType w:val="hybridMultilevel"/>
    <w:lvl w:ilvl="0">
      <w:lvlJc w:val="left"/>
      <w:lvlText w:val="%1."/>
      <w:numFmt w:val="decimal"/>
      <w:start w:val="3"/>
    </w:lvl>
  </w:abstractNum>
  <w:abstractNum w:abstractNumId="212">
    <w:nsid w:val="1DD6D6F4"/>
    <w:multiLevelType w:val="hybridMultilevel"/>
    <w:lvl w:ilvl="0">
      <w:lvlJc w:val="left"/>
      <w:lvlText w:val="(%1)"/>
      <w:numFmt w:val="decimal"/>
      <w:start w:val="1"/>
    </w:lvl>
  </w:abstractNum>
  <w:abstractNum w:abstractNumId="213">
    <w:nsid w:val="769A091F"/>
    <w:multiLevelType w:val="hybridMultilevel"/>
    <w:lvl w:ilvl="0">
      <w:lvlJc w:val="left"/>
      <w:lvlText w:val="%1."/>
      <w:numFmt w:val="decimal"/>
      <w:start w:val="5"/>
    </w:lvl>
  </w:abstractNum>
  <w:abstractNum w:abstractNumId="214">
    <w:nsid w:val="4695AE95"/>
    <w:multiLevelType w:val="hybridMultilevel"/>
    <w:lvl w:ilvl="0">
      <w:lvlJc w:val="left"/>
      <w:lvlText w:val="%1."/>
      <w:numFmt w:val="decimal"/>
      <w:start w:val="6"/>
    </w:lvl>
  </w:abstractNum>
  <w:abstractNum w:abstractNumId="215">
    <w:nsid w:val="777A4EAA"/>
    <w:multiLevelType w:val="hybridMultilevel"/>
    <w:lvl w:ilvl="0">
      <w:lvlJc w:val="left"/>
      <w:lvlText w:val="%1."/>
      <w:numFmt w:val="decimal"/>
      <w:start w:val="6"/>
    </w:lvl>
  </w:abstractNum>
  <w:abstractNum w:abstractNumId="216">
    <w:nsid w:val="3F48B982"/>
    <w:multiLevelType w:val="hybridMultilevel"/>
    <w:lvl w:ilvl="0">
      <w:lvlJc w:val="left"/>
      <w:lvlText w:val="%1."/>
      <w:numFmt w:val="decimal"/>
      <w:start w:val="7"/>
    </w:lvl>
  </w:abstractNum>
  <w:abstractNum w:abstractNumId="217">
    <w:nsid w:val="46BA8FCA"/>
    <w:multiLevelType w:val="hybridMultilevel"/>
    <w:lvl w:ilvl="0">
      <w:lvlJc w:val="left"/>
      <w:lvlText w:val="%1."/>
      <w:numFmt w:val="decimal"/>
      <w:start w:val="7"/>
    </w:lvl>
  </w:abstractNum>
  <w:abstractNum w:abstractNumId="218">
    <w:nsid w:val="7835626C"/>
    <w:multiLevelType w:val="hybridMultilevel"/>
    <w:lvl w:ilvl="0">
      <w:lvlJc w:val="left"/>
      <w:lvlText w:val="%1."/>
      <w:numFmt w:val="decimal"/>
      <w:start w:val="8"/>
    </w:lvl>
  </w:abstractNum>
  <w:abstractNum w:abstractNumId="219">
    <w:nsid w:val="665ACA49"/>
    <w:multiLevelType w:val="hybridMultilevel"/>
    <w:lvl w:ilvl="0">
      <w:lvlJc w:val="left"/>
      <w:lvlText w:val="%1."/>
      <w:numFmt w:val="decimal"/>
      <w:start w:val="9"/>
    </w:lvl>
  </w:abstractNum>
  <w:abstractNum w:abstractNumId="220">
    <w:nsid w:val="6835B2AE"/>
    <w:multiLevelType w:val="hybridMultilevel"/>
    <w:lvl w:ilvl="0">
      <w:lvlJc w:val="left"/>
      <w:lvlText w:val="%1."/>
      <w:numFmt w:val="decimal"/>
      <w:start w:val="10"/>
    </w:lvl>
  </w:abstractNum>
  <w:abstractNum w:abstractNumId="221">
    <w:nsid w:val="4C187C90"/>
    <w:multiLevelType w:val="hybridMultilevel"/>
    <w:lvl w:ilvl="0">
      <w:lvlJc w:val="left"/>
      <w:lvlText w:val="%1."/>
      <w:numFmt w:val="decimal"/>
      <w:start w:val="10"/>
    </w:lvl>
  </w:abstractNum>
  <w:abstractNum w:abstractNumId="222">
    <w:nsid w:val="541F28CD"/>
    <w:multiLevelType w:val="hybridMultilevel"/>
    <w:lvl w:ilvl="0">
      <w:lvlJc w:val="left"/>
      <w:lvlText w:val="%1."/>
      <w:numFmt w:val="decimal"/>
      <w:start w:val="10"/>
    </w:lvl>
  </w:abstractNum>
  <w:abstractNum w:abstractNumId="223">
    <w:nsid w:val="7F65FD16"/>
    <w:multiLevelType w:val="hybridMultilevel"/>
    <w:lvl w:ilvl="0">
      <w:lvlJc w:val="left"/>
      <w:lvlText w:val="(%1)"/>
      <w:numFmt w:val="decimal"/>
      <w:start w:val="1"/>
    </w:lvl>
  </w:abstractNum>
  <w:abstractNum w:abstractNumId="224">
    <w:nsid w:val="77C9FD68"/>
    <w:multiLevelType w:val="hybridMultilevel"/>
    <w:lvl w:ilvl="0">
      <w:lvlJc w:val="left"/>
      <w:lvlText w:val="%1."/>
      <w:numFmt w:val="decimal"/>
      <w:start w:val="11"/>
    </w:lvl>
  </w:abstractNum>
  <w:abstractNum w:abstractNumId="225">
    <w:nsid w:val="298A92BA"/>
    <w:multiLevelType w:val="hybridMultilevel"/>
    <w:lvl w:ilvl="0">
      <w:lvlJc w:val="left"/>
      <w:lvlText w:val="*"/>
      <w:numFmt w:val="bullet"/>
      <w:start w:val="1"/>
    </w:lvl>
  </w:abstractNum>
  <w:abstractNum w:abstractNumId="226">
    <w:nsid w:val="6FE95EAC"/>
    <w:multiLevelType w:val="hybridMultilevel"/>
    <w:lvl w:ilvl="0">
      <w:lvlJc w:val="left"/>
      <w:lvlText w:val="%1."/>
      <w:numFmt w:val="decimal"/>
      <w:start w:val="12"/>
    </w:lvl>
  </w:abstractNum>
  <w:abstractNum w:abstractNumId="227">
    <w:nsid w:val="4B697C7A"/>
    <w:multiLevelType w:val="hybridMultilevel"/>
    <w:lvl w:ilvl="0">
      <w:lvlJc w:val="left"/>
      <w:lvlText w:val="(%1)"/>
      <w:numFmt w:val="decimal"/>
      <w:start w:val="1"/>
    </w:lvl>
  </w:abstractNum>
  <w:abstractNum w:abstractNumId="228">
    <w:nsid w:val="51A27AA6"/>
    <w:multiLevelType w:val="hybridMultilevel"/>
    <w:lvl w:ilvl="0">
      <w:lvlJc w:val="left"/>
      <w:lvlText w:val="*"/>
      <w:numFmt w:val="bullet"/>
      <w:start w:val="1"/>
    </w:lvl>
  </w:abstractNum>
  <w:abstractNum w:abstractNumId="229">
    <w:nsid w:val="613183F2"/>
    <w:multiLevelType w:val="hybridMultilevel"/>
    <w:lvl w:ilvl="0">
      <w:lvlJc w:val="left"/>
      <w:lvlText w:val="(%1)"/>
      <w:numFmt w:val="lowerLetter"/>
      <w:start w:val="1"/>
    </w:lvl>
  </w:abstractNum>
  <w:abstractNum w:abstractNumId="230">
    <w:nsid w:val="634102B4"/>
    <w:multiLevelType w:val="hybridMultilevel"/>
    <w:lvl w:ilvl="0">
      <w:lvlJc w:val="left"/>
      <w:lvlText w:val="(%1)"/>
      <w:numFmt w:val="lowerRoman"/>
      <w:start w:val="2"/>
    </w:lvl>
  </w:abstractNum>
  <w:abstractNum w:abstractNumId="231">
    <w:nsid w:val="65BF9DA8"/>
    <w:multiLevelType w:val="hybridMultilevel"/>
    <w:lvl w:ilvl="0">
      <w:lvlJc w:val="left"/>
      <w:lvlText w:val="(%1)"/>
      <w:numFmt w:val="lowerLetter"/>
      <w:start w:val="1"/>
    </w:lvl>
  </w:abstractNum>
  <w:abstractNum w:abstractNumId="232">
    <w:nsid w:val="21A2ECCA"/>
    <w:multiLevelType w:val="hybridMultilevel"/>
    <w:lvl w:ilvl="0">
      <w:lvlJc w:val="left"/>
      <w:lvlText w:val="(%1)"/>
      <w:numFmt w:val="lowerLetter"/>
      <w:start w:val="2"/>
    </w:lvl>
  </w:abstractNum>
  <w:abstractNum w:abstractNumId="233">
    <w:nsid w:val="4D5C4899"/>
    <w:multiLevelType w:val="hybridMultilevel"/>
    <w:lvl w:ilvl="0">
      <w:lvlJc w:val="left"/>
      <w:lvlText w:val="(%1)"/>
      <w:numFmt w:val="lowerLetter"/>
      <w:start w:val="4"/>
    </w:lvl>
  </w:abstractNum>
  <w:abstractNum w:abstractNumId="234">
    <w:nsid w:val="3C3B72B2"/>
    <w:multiLevelType w:val="hybridMultilevel"/>
    <w:lvl w:ilvl="0">
      <w:lvlJc w:val="left"/>
      <w:lvlText w:val="(%1)"/>
      <w:numFmt w:val="upperLetter"/>
      <w:start w:val="1"/>
    </w:lvl>
  </w:abstractNum>
  <w:abstractNum w:abstractNumId="235">
    <w:nsid w:val="155EC4C2"/>
    <w:multiLevelType w:val="hybridMultilevel"/>
    <w:lvl w:ilvl="0">
      <w:lvlJc w:val="left"/>
      <w:lvlText w:val="(%1)"/>
      <w:numFmt w:val="lowerLetter"/>
      <w:start w:val="1"/>
    </w:lvl>
  </w:abstractNum>
  <w:abstractNum w:abstractNumId="236">
    <w:nsid w:val="65D2A137"/>
    <w:multiLevelType w:val="hybridMultilevel"/>
    <w:lvl w:ilvl="0">
      <w:lvlJc w:val="left"/>
      <w:lvlText w:val="(%1)"/>
      <w:numFmt w:val="lowerLetter"/>
      <w:start w:val="2"/>
    </w:lvl>
  </w:abstractNum>
  <w:abstractNum w:abstractNumId="237">
    <w:nsid w:val="6EBB1F2A"/>
    <w:multiLevelType w:val="hybridMultilevel"/>
    <w:lvl w:ilvl="0">
      <w:lvlJc w:val="left"/>
      <w:lvlText w:val="%1"/>
      <w:numFmt w:val="lowerLetter"/>
      <w:start w:val="1"/>
    </w:lvl>
    <w:lvl w:ilvl="1">
      <w:lvlJc w:val="left"/>
      <w:lvlText w:val="(%2)"/>
      <w:numFmt w:val="lowerLetter"/>
      <w:start w:val="1"/>
    </w:lvl>
  </w:abstractNum>
  <w:abstractNum w:abstractNumId="238">
    <w:nsid w:val="6FBF29CB"/>
    <w:multiLevelType w:val="hybridMultilevel"/>
    <w:lvl w:ilvl="0">
      <w:lvlJc w:val="left"/>
      <w:lvlText w:val="(%1)"/>
      <w:numFmt w:val="lowerLetter"/>
      <w:start w:val="61"/>
    </w:lvl>
    <w:lvl w:ilvl="1">
      <w:lvlJc w:val="left"/>
      <w:lvlText w:val="%2"/>
      <w:numFmt w:val="lowerLetter"/>
      <w:start w:val="1"/>
    </w:lvl>
  </w:abstractNum>
  <w:abstractNum w:abstractNumId="239">
    <w:nsid w:val="550B8808"/>
    <w:multiLevelType w:val="hybridMultilevel"/>
    <w:lvl w:ilvl="0">
      <w:lvlJc w:val="left"/>
      <w:lvlText w:val="(%1)"/>
      <w:numFmt w:val="lowerLetter"/>
      <w:start w:val="2"/>
    </w:lvl>
  </w:abstractNum>
  <w:abstractNum w:abstractNumId="240">
    <w:nsid w:val="34CC3ACF"/>
    <w:multiLevelType w:val="hybridMultilevel"/>
    <w:lvl w:ilvl="0">
      <w:lvlJc w:val="left"/>
      <w:lvlText w:val="(%1)"/>
      <w:numFmt w:val="lowerRoman"/>
      <w:start w:val="10"/>
    </w:lvl>
  </w:abstractNum>
  <w:abstractNum w:abstractNumId="241">
    <w:nsid w:val="4E556261"/>
    <w:multiLevelType w:val="hybridMultilevel"/>
    <w:lvl w:ilvl="0">
      <w:lvlJc w:val="left"/>
      <w:lvlText w:val="(%1)"/>
      <w:numFmt w:val="lowerRoman"/>
      <w:start w:val="2"/>
    </w:lvl>
  </w:abstractNum>
  <w:abstractNum w:abstractNumId="242">
    <w:nsid w:val="4C672FC9"/>
    <w:multiLevelType w:val="hybridMultilevel"/>
    <w:lvl w:ilvl="0">
      <w:lvlJc w:val="left"/>
      <w:lvlText w:val="(%1)"/>
      <w:numFmt w:val="lowerRoman"/>
      <w:start w:val="3"/>
    </w:lvl>
  </w:abstractNum>
  <w:abstractNum w:abstractNumId="243">
    <w:nsid w:val="52A311C3"/>
    <w:multiLevelType w:val="hybridMultilevel"/>
    <w:lvl w:ilvl="0">
      <w:lvlJc w:val="left"/>
      <w:lvlText w:val="(%1)"/>
      <w:numFmt w:val="decimal"/>
      <w:start w:val="45"/>
    </w:lvl>
  </w:abstractNum>
  <w:abstractNum w:abstractNumId="244">
    <w:nsid w:val="44EF6B80"/>
    <w:multiLevelType w:val="hybridMultilevel"/>
    <w:lvl w:ilvl="0">
      <w:lvlJc w:val="left"/>
      <w:lvlText w:val="(%1)"/>
      <w:numFmt w:val="lowerLetter"/>
      <w:start w:val="1"/>
    </w:lvl>
  </w:abstractNum>
  <w:abstractNum w:abstractNumId="245">
    <w:nsid w:val="12FCDE5E"/>
    <w:multiLevelType w:val="hybridMultilevel"/>
    <w:lvl w:ilvl="0">
      <w:lvlJc w:val="left"/>
      <w:lvlText w:val="(%1)"/>
      <w:numFmt w:val="lowerLetter"/>
      <w:start w:val="2"/>
    </w:lvl>
  </w:abstractNum>
  <w:abstractNum w:abstractNumId="246">
    <w:nsid w:val="4A1D606E"/>
    <w:multiLevelType w:val="hybridMultilevel"/>
    <w:lvl w:ilvl="0">
      <w:lvlJc w:val="left"/>
      <w:lvlText w:val="(%1)"/>
      <w:numFmt w:val="lowerLetter"/>
      <w:start w:val="1"/>
    </w:lvl>
  </w:abstractNum>
  <w:abstractNum w:abstractNumId="247">
    <w:nsid w:val="4382503"/>
    <w:multiLevelType w:val="hybridMultilevel"/>
    <w:lvl w:ilvl="0">
      <w:lvlJc w:val="left"/>
      <w:lvlText w:val="(%1)"/>
      <w:numFmt w:val="lowerLetter"/>
      <w:start w:val="4"/>
    </w:lvl>
  </w:abstractNum>
  <w:abstractNum w:abstractNumId="248">
    <w:nsid w:val="59B76E28"/>
    <w:multiLevelType w:val="hybridMultilevel"/>
    <w:lvl w:ilvl="0">
      <w:lvlJc w:val="left"/>
      <w:lvlText w:val="(%1)"/>
      <w:numFmt w:val="lowerRoman"/>
      <w:start w:val="3"/>
    </w:lvl>
  </w:abstractNum>
  <w:abstractNum w:abstractNumId="249">
    <w:nsid w:val="4252C2DA"/>
    <w:multiLevelType w:val="hybridMultilevel"/>
    <w:lvl w:ilvl="0">
      <w:lvlJc w:val="left"/>
      <w:lvlText w:val="(%1)"/>
      <w:numFmt w:val="lowerRoman"/>
      <w:start w:val="1"/>
    </w:lvl>
  </w:abstractNum>
  <w:abstractNum w:abstractNumId="250">
    <w:nsid w:val="6A92EF4C"/>
    <w:multiLevelType w:val="hybridMultilevel"/>
    <w:lvl w:ilvl="0">
      <w:lvlJc w:val="left"/>
      <w:lvlText w:val="(%1)"/>
      <w:numFmt w:val="lowerLetter"/>
      <w:start w:val="22"/>
    </w:lvl>
  </w:abstractNum>
  <w:abstractNum w:abstractNumId="251">
    <w:nsid w:val="41ED20D7"/>
    <w:multiLevelType w:val="hybridMultilevel"/>
    <w:lvl w:ilvl="0">
      <w:lvlJc w:val="left"/>
      <w:lvlText w:val="(%1)"/>
      <w:numFmt w:val="lowerLetter"/>
      <w:start w:val="2"/>
    </w:lvl>
  </w:abstractNum>
  <w:abstractNum w:abstractNumId="252">
    <w:nsid w:val="E6B3F6A"/>
    <w:multiLevelType w:val="hybridMultilevel"/>
    <w:lvl w:ilvl="0">
      <w:lvlJc w:val="left"/>
      <w:lvlText w:val="(%1)"/>
      <w:numFmt w:val="lowerLetter"/>
      <w:start w:val="3"/>
    </w:lvl>
  </w:abstractNum>
  <w:abstractNum w:abstractNumId="253">
    <w:nsid w:val="3EB21819"/>
    <w:multiLevelType w:val="hybridMultilevel"/>
    <w:lvl w:ilvl="0">
      <w:lvlJc w:val="left"/>
      <w:lvlText w:val="(%1)"/>
      <w:numFmt w:val="lowerRoman"/>
      <w:start w:val="4"/>
    </w:lvl>
  </w:abstractNum>
  <w:abstractNum w:abstractNumId="254">
    <w:nsid w:val="41531DED"/>
    <w:multiLevelType w:val="hybridMultilevel"/>
    <w:lvl w:ilvl="0">
      <w:lvlJc w:val="left"/>
      <w:lvlText w:val="(%1)"/>
      <w:numFmt w:val="lowerRoman"/>
      <w:start w:val="2"/>
    </w:lvl>
  </w:abstractNum>
  <w:abstractNum w:abstractNumId="255">
    <w:nsid w:val="6353CD2"/>
    <w:multiLevelType w:val="hybridMultilevel"/>
    <w:lvl w:ilvl="0">
      <w:lvlJc w:val="left"/>
      <w:lvlText w:val="(%1)"/>
      <w:numFmt w:val="lowerLetter"/>
      <w:start w:val="1"/>
    </w:lvl>
  </w:abstractNum>
  <w:abstractNum w:abstractNumId="256">
    <w:nsid w:val="683CAAD3"/>
    <w:multiLevelType w:val="hybridMultilevel"/>
    <w:lvl w:ilvl="0">
      <w:lvlJc w:val="left"/>
      <w:lvlText w:val="(%1)"/>
      <w:numFmt w:val="lowerLetter"/>
      <w:start w:val="1"/>
    </w:lvl>
  </w:abstractNum>
  <w:abstractNum w:abstractNumId="257">
    <w:nsid w:val="313C7C99"/>
    <w:multiLevelType w:val="hybridMultilevel"/>
    <w:lvl w:ilvl="0">
      <w:lvlJc w:val="left"/>
      <w:lvlText w:val="(%1)"/>
      <w:numFmt w:val="decimal"/>
      <w:start w:val="1"/>
    </w:lvl>
  </w:abstractNum>
  <w:abstractNum w:abstractNumId="258">
    <w:nsid w:val="519EB94C"/>
    <w:multiLevelType w:val="hybridMultilevel"/>
    <w:lvl w:ilvl="0">
      <w:lvlJc w:val="left"/>
      <w:lvlText w:val="(%1)"/>
      <w:numFmt w:val="decimal"/>
      <w:start w:val="2"/>
    </w:lvl>
  </w:abstractNum>
  <w:abstractNum w:abstractNumId="259">
    <w:nsid w:val="39DF2579"/>
    <w:multiLevelType w:val="hybridMultilevel"/>
    <w:lvl w:ilvl="0">
      <w:lvlJc w:val="left"/>
      <w:lvlText w:val="(%1)"/>
      <w:numFmt w:val="decimal"/>
      <w:start w:val="3"/>
    </w:lvl>
  </w:abstractNum>
  <w:abstractNum w:abstractNumId="260">
    <w:nsid w:val="126E008B"/>
    <w:multiLevelType w:val="hybridMultilevel"/>
    <w:lvl w:ilvl="0">
      <w:lvlJc w:val="left"/>
      <w:lvlText w:val="(%1)"/>
      <w:numFmt w:val="decimal"/>
      <w:start w:val="4"/>
    </w:lvl>
  </w:abstractNum>
  <w:abstractNum w:abstractNumId="261">
    <w:nsid w:val="34DFBC00"/>
    <w:multiLevelType w:val="hybridMultilevel"/>
    <w:lvl w:ilvl="0">
      <w:lvlJc w:val="left"/>
      <w:lvlText w:val="(%1)"/>
      <w:numFmt w:val="lowerRoman"/>
      <w:start w:val="3"/>
    </w:lvl>
    <w:lvl w:ilvl="1">
      <w:lvlJc w:val="left"/>
      <w:lvlText w:val="(%2)"/>
      <w:numFmt w:val="decimal"/>
      <w:start w:val="5"/>
    </w:lvl>
  </w:abstractNum>
  <w:abstractNum w:abstractNumId="262">
    <w:nsid w:val="1F9EC322"/>
    <w:multiLevelType w:val="hybridMultilevel"/>
    <w:lvl w:ilvl="0">
      <w:lvlJc w:val="left"/>
      <w:lvlText w:val="%1"/>
      <w:numFmt w:val="lowerRoman"/>
      <w:start w:val="1"/>
    </w:lvl>
    <w:lvl w:ilvl="1">
      <w:lvlJc w:val="left"/>
      <w:lvlText w:val="(%2)"/>
      <w:numFmt w:val="decimal"/>
      <w:start w:val="7"/>
    </w:lvl>
  </w:abstractNum>
  <w:abstractNum w:abstractNumId="263">
    <w:nsid w:val="3410ED56"/>
    <w:multiLevelType w:val="hybridMultilevel"/>
    <w:lvl w:ilvl="0">
      <w:lvlJc w:val="left"/>
      <w:lvlText w:val="(%1)"/>
      <w:numFmt w:val="lowerRoman"/>
      <w:start w:val="3"/>
    </w:lvl>
    <w:lvl w:ilvl="1">
      <w:lvlJc w:val="left"/>
      <w:lvlText w:val="%2"/>
      <w:numFmt w:val="decimal"/>
      <w:start w:val="1"/>
    </w:lvl>
  </w:abstractNum>
  <w:abstractNum w:abstractNumId="264">
    <w:nsid w:val="23C049A"/>
    <w:multiLevelType w:val="hybridMultilevel"/>
    <w:lvl w:ilvl="0">
      <w:lvlJc w:val="left"/>
      <w:lvlText w:val="(%1)"/>
      <w:numFmt w:val="decimal"/>
      <w:start w:val="10"/>
    </w:lvl>
    <w:lvl w:ilvl="1">
      <w:lvlJc w:val="left"/>
      <w:lvlText w:val="(%2)"/>
      <w:numFmt w:val="lowerRoman"/>
      <w:start w:val="1"/>
    </w:lvl>
  </w:abstractNum>
  <w:abstractNum w:abstractNumId="265">
    <w:nsid w:val="5BDA35D4"/>
    <w:multiLevelType w:val="hybridMultilevel"/>
    <w:lvl w:ilvl="0">
      <w:lvlJc w:val="left"/>
      <w:lvlText w:val="(%1)"/>
      <w:numFmt w:val="lowerRoman"/>
      <w:start w:val="2"/>
    </w:lvl>
  </w:abstractNum>
  <w:abstractNum w:abstractNumId="266">
    <w:nsid w:val="496FB218"/>
    <w:multiLevelType w:val="hybridMultilevel"/>
    <w:lvl w:ilvl="0">
      <w:lvlJc w:val="left"/>
      <w:lvlText w:val="(%1)"/>
      <w:numFmt w:val="lowerLetter"/>
      <w:start w:val="1"/>
    </w:lvl>
  </w:abstractNum>
  <w:abstractNum w:abstractNumId="267">
    <w:nsid w:val="680EA5D1"/>
    <w:multiLevelType w:val="hybridMultilevel"/>
    <w:lvl w:ilvl="0">
      <w:lvlJc w:val="left"/>
      <w:lvlText w:val="(%1)"/>
      <w:numFmt w:val="lowerLetter"/>
      <w:start w:val="2"/>
    </w:lvl>
  </w:abstractNum>
  <w:abstractNum w:abstractNumId="268">
    <w:nsid w:val="4A9554FE"/>
    <w:multiLevelType w:val="hybridMultilevel"/>
    <w:lvl w:ilvl="0">
      <w:lvlJc w:val="left"/>
      <w:lvlText w:val="(%1)"/>
      <w:numFmt w:val="decimal"/>
      <w:start w:val="12"/>
    </w:lvl>
  </w:abstractNum>
  <w:abstractNum w:abstractNumId="269">
    <w:nsid w:val="392EDBE4"/>
    <w:multiLevelType w:val="hybridMultilevel"/>
    <w:lvl w:ilvl="0">
      <w:lvlJc w:val="left"/>
      <w:lvlText w:val="(%1)"/>
      <w:numFmt w:val="decimal"/>
      <w:start w:val="13"/>
    </w:lvl>
  </w:abstractNum>
  <w:abstractNum w:abstractNumId="270">
    <w:nsid w:val="3D1A2DD9"/>
    <w:multiLevelType w:val="hybridMultilevel"/>
    <w:lvl w:ilvl="0">
      <w:lvlJc w:val="left"/>
      <w:lvlText w:val="(%1)"/>
      <w:numFmt w:val="decimal"/>
      <w:start w:val="15"/>
    </w:lvl>
  </w:abstractNum>
  <w:abstractNum w:abstractNumId="271">
    <w:nsid w:val="7F618FCD"/>
    <w:multiLevelType w:val="hybridMultilevel"/>
    <w:lvl w:ilvl="0">
      <w:lvlJc w:val="left"/>
      <w:lvlText w:val="(%1)"/>
      <w:numFmt w:val="lowerLetter"/>
      <w:start w:val="2"/>
    </w:lvl>
  </w:abstractNum>
  <w:abstractNum w:abstractNumId="272">
    <w:nsid w:val="7843E45"/>
    <w:multiLevelType w:val="hybridMultilevel"/>
    <w:lvl w:ilvl="0">
      <w:lvlJc w:val="left"/>
      <w:lvlText w:val="%1"/>
      <w:numFmt w:val="lowerLetter"/>
      <w:start w:val="1"/>
    </w:lvl>
    <w:lvl w:ilvl="1">
      <w:lvlJc w:val="left"/>
      <w:lvlText w:val="(%2)"/>
      <w:numFmt w:val="lowerLetter"/>
      <w:start w:val="3"/>
    </w:lvl>
  </w:abstractNum>
  <w:abstractNum w:abstractNumId="273">
    <w:nsid w:val="9815DA3"/>
    <w:multiLevelType w:val="hybridMultilevel"/>
    <w:lvl w:ilvl="0">
      <w:lvlJc w:val="left"/>
      <w:lvlText w:val="(%1)"/>
      <w:numFmt w:val="lowerLetter"/>
      <w:start w:val="61"/>
    </w:lvl>
    <w:lvl w:ilvl="1">
      <w:lvlJc w:val="left"/>
      <w:lvlText w:val="%2"/>
      <w:numFmt w:val="lowerLetter"/>
      <w:start w:val="1"/>
    </w:lvl>
  </w:abstractNum>
  <w:abstractNum w:abstractNumId="274">
    <w:nsid w:val="5204A191"/>
    <w:multiLevelType w:val="hybridMultilevel"/>
    <w:lvl w:ilvl="0">
      <w:lvlJc w:val="left"/>
      <w:lvlText w:val="(%1)"/>
      <w:numFmt w:val="lowerLetter"/>
      <w:start w:val="35"/>
    </w:lvl>
    <w:lvl w:ilvl="1">
      <w:lvlJc w:val="left"/>
      <w:lvlText w:val="%2"/>
      <w:numFmt w:val="lowerLetter"/>
      <w:start w:val="1"/>
    </w:lvl>
  </w:abstractNum>
  <w:abstractNum w:abstractNumId="275">
    <w:nsid w:val="4C73A9C6"/>
    <w:multiLevelType w:val="hybridMultilevel"/>
    <w:lvl w:ilvl="0">
      <w:lvlJc w:val="left"/>
      <w:lvlText w:val="(%1)"/>
      <w:numFmt w:val="lowerLetter"/>
      <w:start w:val="5"/>
    </w:lvl>
  </w:abstractNum>
  <w:abstractNum w:abstractNumId="276">
    <w:nsid w:val="1C7E3C01"/>
    <w:multiLevelType w:val="hybridMultilevel"/>
    <w:lvl w:ilvl="0">
      <w:lvlJc w:val="left"/>
      <w:lvlText w:val="(%1)"/>
      <w:numFmt w:val="lowerRoman"/>
      <w:start w:val="2"/>
    </w:lvl>
  </w:abstractNum>
  <w:abstractNum w:abstractNumId="277">
    <w:nsid w:val="1C2201FF"/>
    <w:multiLevelType w:val="hybridMultilevel"/>
    <w:lvl w:ilvl="0">
      <w:lvlJc w:val="left"/>
      <w:lvlText w:val="(%1)"/>
      <w:numFmt w:val="decimal"/>
      <w:start w:val="16"/>
    </w:lvl>
  </w:abstractNum>
  <w:abstractNum w:abstractNumId="278">
    <w:nsid w:val="50ABCEC9"/>
    <w:multiLevelType w:val="hybridMultilevel"/>
    <w:lvl w:ilvl="0">
      <w:lvlJc w:val="left"/>
      <w:lvlText w:val="(%1)"/>
      <w:numFmt w:val="decimal"/>
      <w:start w:val="17"/>
    </w:lvl>
  </w:abstractNum>
  <w:abstractNum w:abstractNumId="279">
    <w:nsid w:val="7635AA2A"/>
    <w:multiLevelType w:val="hybridMultilevel"/>
    <w:lvl w:ilvl="0">
      <w:lvlJc w:val="left"/>
      <w:lvlText w:val="(%1)"/>
      <w:numFmt w:val="decimal"/>
      <w:start w:val="19"/>
    </w:lvl>
  </w:abstractNum>
  <w:abstractNum w:abstractNumId="280">
    <w:nsid w:val="5E74C4D9"/>
    <w:multiLevelType w:val="hybridMultilevel"/>
    <w:lvl w:ilvl="0">
      <w:lvlJc w:val="left"/>
      <w:lvlText w:val="(%1)"/>
      <w:numFmt w:val="decimal"/>
      <w:start w:val="21"/>
    </w:lvl>
  </w:abstractNum>
  <w:abstractNum w:abstractNumId="281">
    <w:nsid w:val="3B3EBE15"/>
    <w:multiLevelType w:val="hybridMultilevel"/>
    <w:lvl w:ilvl="0">
      <w:lvlJc w:val="left"/>
      <w:lvlText w:val="%1"/>
      <w:numFmt w:val="lowerRoman"/>
      <w:start w:val="1"/>
    </w:lvl>
    <w:lvl w:ilvl="1">
      <w:lvlJc w:val="left"/>
      <w:lvlText w:val="(%2)"/>
      <w:numFmt w:val="decimal"/>
      <w:start w:val="22"/>
    </w:lvl>
  </w:abstractNum>
  <w:abstractNum w:abstractNumId="282">
    <w:nsid w:val="3822CB01"/>
    <w:multiLevelType w:val="hybridMultilevel"/>
    <w:lvl w:ilvl="0">
      <w:lvlJc w:val="left"/>
      <w:lvlText w:val="(%1)"/>
      <w:numFmt w:val="lowerRoman"/>
      <w:start w:val="1"/>
    </w:lvl>
    <w:lvl w:ilvl="1">
      <w:lvlJc w:val="left"/>
      <w:lvlText w:val="%2"/>
      <w:numFmt w:val="decimal"/>
      <w:start w:val="1"/>
    </w:lvl>
  </w:abstractNum>
  <w:abstractNum w:abstractNumId="283">
    <w:nsid w:val="6CE00443"/>
    <w:multiLevelType w:val="hybridMultilevel"/>
    <w:lvl w:ilvl="0">
      <w:lvlJc w:val="left"/>
      <w:lvlText w:val="(%1)"/>
      <w:numFmt w:val="decimal"/>
      <w:start w:val="23"/>
    </w:lvl>
  </w:abstractNum>
  <w:abstractNum w:abstractNumId="284">
    <w:nsid w:val="79F0D62F"/>
    <w:multiLevelType w:val="hybridMultilevel"/>
    <w:lvl w:ilvl="0">
      <w:lvlJc w:val="left"/>
      <w:lvlText w:val="%1"/>
      <w:numFmt w:val="decimal"/>
      <w:start w:val="1"/>
    </w:lvl>
    <w:lvl w:ilvl="1">
      <w:lvlJc w:val="left"/>
      <w:lvlText w:val="(%2)"/>
      <w:numFmt w:val="decimal"/>
      <w:start w:val="24"/>
    </w:lvl>
  </w:abstractNum>
  <w:abstractNum w:abstractNumId="285">
    <w:nsid w:val="7975E8EE"/>
    <w:multiLevelType w:val="hybridMultilevel"/>
    <w:lvl w:ilvl="0">
      <w:lvlJc w:val="left"/>
      <w:lvlText w:val="(%1)"/>
      <w:numFmt w:val="decimal"/>
      <w:start w:val="90"/>
    </w:lvl>
    <w:lvl w:ilvl="1">
      <w:lvlJc w:val="left"/>
      <w:lvlText w:val="%2"/>
      <w:numFmt w:val="decimal"/>
      <w:start w:val="1"/>
    </w:lvl>
  </w:abstractNum>
  <w:abstractNum w:abstractNumId="286">
    <w:nsid w:val="73154115"/>
    <w:multiLevelType w:val="hybridMultilevel"/>
    <w:lvl w:ilvl="0">
      <w:lvlJc w:val="left"/>
      <w:lvlText w:val="(%1)"/>
      <w:numFmt w:val="decimal"/>
      <w:start w:val="30"/>
    </w:lvl>
    <w:lvl w:ilvl="1">
      <w:lvlJc w:val="left"/>
      <w:lvlText w:val="%2"/>
      <w:numFmt w:val="decimal"/>
      <w:start w:val="1"/>
    </w:lvl>
  </w:abstractNum>
  <w:abstractNum w:abstractNumId="287">
    <w:nsid w:val="622D8102"/>
    <w:multiLevelType w:val="hybridMultilevel"/>
    <w:lvl w:ilvl="0">
      <w:lvlJc w:val="left"/>
      <w:lvlText w:val="(%1)"/>
      <w:numFmt w:val="decimal"/>
      <w:start w:val="25"/>
    </w:lvl>
  </w:abstractNum>
  <w:abstractNum w:abstractNumId="288">
    <w:nsid w:val="2AB26587"/>
    <w:multiLevelType w:val="hybridMultilevel"/>
    <w:lvl w:ilvl="0">
      <w:lvlJc w:val="left"/>
      <w:lvlText w:val="(%1)"/>
      <w:numFmt w:val="lowerLetter"/>
      <w:start w:val="2"/>
    </w:lvl>
  </w:abstractNum>
  <w:abstractNum w:abstractNumId="289">
    <w:nsid w:val="44B3FA61"/>
    <w:multiLevelType w:val="hybridMultilevel"/>
    <w:lvl w:ilvl="0">
      <w:lvlJc w:val="left"/>
      <w:lvlText w:val="%1"/>
      <w:numFmt w:val="lowerRoman"/>
      <w:start w:val="1"/>
    </w:lvl>
    <w:lvl w:ilvl="1">
      <w:lvlJc w:val="left"/>
      <w:lvlText w:val="(%2)"/>
      <w:numFmt w:val="decimal"/>
      <w:start w:val="26"/>
    </w:lvl>
  </w:abstractNum>
  <w:abstractNum w:abstractNumId="290">
    <w:nsid w:val="1C0CA67C"/>
    <w:multiLevelType w:val="hybridMultilevel"/>
    <w:lvl w:ilvl="0">
      <w:lvlJc w:val="left"/>
      <w:lvlText w:val="(%1)"/>
      <w:numFmt w:val="lowerRoman"/>
      <w:start w:val="2"/>
    </w:lvl>
    <w:lvl w:ilvl="1">
      <w:lvlJc w:val="left"/>
      <w:lvlText w:val="%2"/>
      <w:numFmt w:val="decimal"/>
      <w:start w:val="1"/>
    </w:lvl>
  </w:abstractNum>
  <w:abstractNum w:abstractNumId="291">
    <w:nsid w:val="3D206613"/>
    <w:multiLevelType w:val="hybridMultilevel"/>
    <w:lvl w:ilvl="0">
      <w:lvlJc w:val="left"/>
      <w:lvlText w:val="(%1)"/>
      <w:numFmt w:val="decimal"/>
      <w:start w:val="27"/>
    </w:lvl>
  </w:abstractNum>
  <w:abstractNum w:abstractNumId="292">
    <w:nsid w:val="7993B662"/>
    <w:multiLevelType w:val="hybridMultilevel"/>
    <w:lvl w:ilvl="0">
      <w:lvlJc w:val="left"/>
      <w:lvlText w:val="(%1)"/>
      <w:numFmt w:val="decimal"/>
      <w:start w:val="1"/>
    </w:lvl>
  </w:abstractNum>
  <w:abstractNum w:abstractNumId="293">
    <w:nsid w:val="3BAB699E"/>
    <w:multiLevelType w:val="hybridMultilevel"/>
    <w:lvl w:ilvl="0">
      <w:lvlJc w:val="left"/>
      <w:lvlText w:val="(%1)"/>
      <w:numFmt w:val="decimal"/>
      <w:start w:val="7"/>
    </w:lvl>
  </w:abstractNum>
  <w:abstractNum w:abstractNumId="294">
    <w:nsid w:val="71315369"/>
    <w:multiLevelType w:val="hybridMultilevel"/>
    <w:lvl w:ilvl="0">
      <w:lvlJc w:val="left"/>
      <w:lvlText w:val="(%1)"/>
      <w:numFmt w:val="decimal"/>
      <w:start w:val="8"/>
    </w:lvl>
  </w:abstractNum>
  <w:abstractNum w:abstractNumId="295">
    <w:nsid w:val="7BCFBAFC"/>
    <w:multiLevelType w:val="hybridMultilevel"/>
    <w:lvl w:ilvl="0">
      <w:lvlJc w:val="left"/>
      <w:lvlText w:val="%1."/>
      <w:numFmt w:val="upperLetter"/>
      <w:start w:val="35"/>
    </w:lvl>
  </w:abstractNum>
  <w:abstractNum w:abstractNumId="296">
    <w:nsid w:val="17859F72"/>
    <w:multiLevelType w:val="hybridMultilevel"/>
    <w:lvl w:ilvl="0">
      <w:lvlJc w:val="left"/>
      <w:lvlText w:val="(%1)"/>
      <w:numFmt w:val="lowerRoman"/>
      <w:start w:val="1"/>
    </w:lvl>
  </w:abstractNum>
  <w:abstractNum w:abstractNumId="297">
    <w:nsid w:val="3AA10581"/>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50" Type="http://schemas.openxmlformats.org/officeDocument/2006/relationships/image" Target="media/image427.png"/><Relationship Id="rId467" Type="http://schemas.openxmlformats.org/officeDocument/2006/relationships/image" Target="media/image428.png"/><Relationship Id="rId481" Type="http://schemas.openxmlformats.org/officeDocument/2006/relationships/image" Target="media/image429.png"/><Relationship Id="rId482" Type="http://schemas.openxmlformats.org/officeDocument/2006/relationships/image" Target="media/image430.png"/><Relationship Id="rId483" Type="http://schemas.openxmlformats.org/officeDocument/2006/relationships/image" Target="media/image431.png"/><Relationship Id="rId484" Type="http://schemas.openxmlformats.org/officeDocument/2006/relationships/image" Target="media/image432.png"/><Relationship Id="rId485" Type="http://schemas.openxmlformats.org/officeDocument/2006/relationships/image" Target="media/image433.png"/><Relationship Id="rId486" Type="http://schemas.openxmlformats.org/officeDocument/2006/relationships/image" Target="media/image434.png"/><Relationship Id="rId487" Type="http://schemas.openxmlformats.org/officeDocument/2006/relationships/image" Target="media/image435.png"/><Relationship Id="rId488" Type="http://schemas.openxmlformats.org/officeDocument/2006/relationships/image" Target="media/image436.png"/><Relationship Id="rId489" Type="http://schemas.openxmlformats.org/officeDocument/2006/relationships/image" Target="media/image437.png"/><Relationship Id="rId490" Type="http://schemas.openxmlformats.org/officeDocument/2006/relationships/image" Target="media/image438.png"/><Relationship Id="rId491" Type="http://schemas.openxmlformats.org/officeDocument/2006/relationships/image" Target="media/image439.png"/><Relationship Id="rId492" Type="http://schemas.openxmlformats.org/officeDocument/2006/relationships/image" Target="media/image440.png"/><Relationship Id="rId493" Type="http://schemas.openxmlformats.org/officeDocument/2006/relationships/image" Target="media/image441.png"/><Relationship Id="rId494" Type="http://schemas.openxmlformats.org/officeDocument/2006/relationships/image" Target="media/image442.png"/><Relationship Id="rId495" Type="http://schemas.openxmlformats.org/officeDocument/2006/relationships/image" Target="media/image443.png"/><Relationship Id="rId496" Type="http://schemas.openxmlformats.org/officeDocument/2006/relationships/image" Target="media/image444.png"/><Relationship Id="rId497" Type="http://schemas.openxmlformats.org/officeDocument/2006/relationships/image" Target="media/image445.png"/><Relationship Id="rId498" Type="http://schemas.openxmlformats.org/officeDocument/2006/relationships/image" Target="media/image446.png"/><Relationship Id="rId499" Type="http://schemas.openxmlformats.org/officeDocument/2006/relationships/image" Target="media/image447.png"/><Relationship Id="rId500" Type="http://schemas.openxmlformats.org/officeDocument/2006/relationships/image" Target="media/image448.png"/><Relationship Id="rId501" Type="http://schemas.openxmlformats.org/officeDocument/2006/relationships/image" Target="media/image449.png"/><Relationship Id="rId502" Type="http://schemas.openxmlformats.org/officeDocument/2006/relationships/image" Target="media/image450.png"/><Relationship Id="rId503" Type="http://schemas.openxmlformats.org/officeDocument/2006/relationships/image" Target="media/image451.png"/><Relationship Id="rId504" Type="http://schemas.openxmlformats.org/officeDocument/2006/relationships/image" Target="media/image452.png"/><Relationship Id="rId505" Type="http://schemas.openxmlformats.org/officeDocument/2006/relationships/image" Target="media/image453.png"/><Relationship Id="rId506" Type="http://schemas.openxmlformats.org/officeDocument/2006/relationships/image" Target="media/image454.png"/><Relationship Id="rId507" Type="http://schemas.openxmlformats.org/officeDocument/2006/relationships/image" Target="media/image455.png"/><Relationship Id="rId508" Type="http://schemas.openxmlformats.org/officeDocument/2006/relationships/image" Target="media/image456.png"/><Relationship Id="rId509" Type="http://schemas.openxmlformats.org/officeDocument/2006/relationships/image" Target="media/image457.png"/><Relationship Id="rId510" Type="http://schemas.openxmlformats.org/officeDocument/2006/relationships/image" Target="media/image458.png"/><Relationship Id="rId511" Type="http://schemas.openxmlformats.org/officeDocument/2006/relationships/image" Target="media/image459.png"/><Relationship Id="rId512" Type="http://schemas.openxmlformats.org/officeDocument/2006/relationships/image" Target="media/image460.png"/><Relationship Id="rId513" Type="http://schemas.openxmlformats.org/officeDocument/2006/relationships/image" Target="media/image461.png"/><Relationship Id="rId514" Type="http://schemas.openxmlformats.org/officeDocument/2006/relationships/image" Target="media/image462.png"/><Relationship Id="rId515" Type="http://schemas.openxmlformats.org/officeDocument/2006/relationships/image" Target="media/image463.png"/><Relationship Id="rId516" Type="http://schemas.openxmlformats.org/officeDocument/2006/relationships/image" Target="media/image464.png"/><Relationship Id="rId517" Type="http://schemas.openxmlformats.org/officeDocument/2006/relationships/image" Target="media/image465.png"/><Relationship Id="rId518" Type="http://schemas.openxmlformats.org/officeDocument/2006/relationships/image" Target="media/image466.png"/><Relationship Id="rId519" Type="http://schemas.openxmlformats.org/officeDocument/2006/relationships/image" Target="media/image467.png"/><Relationship Id="rId520" Type="http://schemas.openxmlformats.org/officeDocument/2006/relationships/image" Target="media/image468.png"/><Relationship Id="rId521" Type="http://schemas.openxmlformats.org/officeDocument/2006/relationships/image" Target="media/image469.png"/><Relationship Id="rId522" Type="http://schemas.openxmlformats.org/officeDocument/2006/relationships/image" Target="media/image470.png"/><Relationship Id="rId523" Type="http://schemas.openxmlformats.org/officeDocument/2006/relationships/image" Target="media/image471.png"/><Relationship Id="rId524" Type="http://schemas.openxmlformats.org/officeDocument/2006/relationships/image" Target="media/image472.png"/><Relationship Id="rId525" Type="http://schemas.openxmlformats.org/officeDocument/2006/relationships/image" Target="media/image473.png"/><Relationship Id="rId526" Type="http://schemas.openxmlformats.org/officeDocument/2006/relationships/image" Target="media/image474.png"/><Relationship Id="rId527" Type="http://schemas.openxmlformats.org/officeDocument/2006/relationships/image" Target="media/image475.png"/><Relationship Id="rId528" Type="http://schemas.openxmlformats.org/officeDocument/2006/relationships/image" Target="media/image476.png"/><Relationship Id="rId529" Type="http://schemas.openxmlformats.org/officeDocument/2006/relationships/image" Target="media/image477.png"/><Relationship Id="rId530" Type="http://schemas.openxmlformats.org/officeDocument/2006/relationships/image" Target="media/image478.png"/><Relationship Id="rId531" Type="http://schemas.openxmlformats.org/officeDocument/2006/relationships/image" Target="media/image479.png"/><Relationship Id="rId532" Type="http://schemas.openxmlformats.org/officeDocument/2006/relationships/image" Target="media/image480.png"/><Relationship Id="rId533" Type="http://schemas.openxmlformats.org/officeDocument/2006/relationships/image" Target="media/image481.png"/><Relationship Id="rId534" Type="http://schemas.openxmlformats.org/officeDocument/2006/relationships/image" Target="media/image482.png"/><Relationship Id="rId535" Type="http://schemas.openxmlformats.org/officeDocument/2006/relationships/image" Target="media/image483.png"/><Relationship Id="rId536" Type="http://schemas.openxmlformats.org/officeDocument/2006/relationships/image" Target="media/image484.png"/><Relationship Id="rId537" Type="http://schemas.openxmlformats.org/officeDocument/2006/relationships/image" Target="media/image485.png"/><Relationship Id="rId538" Type="http://schemas.openxmlformats.org/officeDocument/2006/relationships/image" Target="media/image486.png"/><Relationship Id="rId539" Type="http://schemas.openxmlformats.org/officeDocument/2006/relationships/image" Target="media/image487.png"/><Relationship Id="rId540" Type="http://schemas.openxmlformats.org/officeDocument/2006/relationships/image" Target="media/image488.png"/><Relationship Id="rId541" Type="http://schemas.openxmlformats.org/officeDocument/2006/relationships/image" Target="media/image489.png"/><Relationship Id="rId542" Type="http://schemas.openxmlformats.org/officeDocument/2006/relationships/image" Target="media/image490.png"/><Relationship Id="rId543" Type="http://schemas.openxmlformats.org/officeDocument/2006/relationships/image" Target="media/image491.png"/><Relationship Id="rId544" Type="http://schemas.openxmlformats.org/officeDocument/2006/relationships/image" Target="media/image492.png"/><Relationship Id="rId545" Type="http://schemas.openxmlformats.org/officeDocument/2006/relationships/image" Target="media/image493.png"/><Relationship Id="rId546" Type="http://schemas.openxmlformats.org/officeDocument/2006/relationships/image" Target="media/image494.png"/><Relationship Id="rId547" Type="http://schemas.openxmlformats.org/officeDocument/2006/relationships/image" Target="media/image495.png"/><Relationship Id="rId548" Type="http://schemas.openxmlformats.org/officeDocument/2006/relationships/image" Target="media/image496.png"/><Relationship Id="rId549" Type="http://schemas.openxmlformats.org/officeDocument/2006/relationships/image" Target="media/image497.png"/><Relationship Id="rId550" Type="http://schemas.openxmlformats.org/officeDocument/2006/relationships/image" Target="media/image498.png"/><Relationship Id="rId551" Type="http://schemas.openxmlformats.org/officeDocument/2006/relationships/image" Target="media/image499.png"/><Relationship Id="rId552" Type="http://schemas.openxmlformats.org/officeDocument/2006/relationships/image" Target="media/image500.png"/><Relationship Id="rId553" Type="http://schemas.openxmlformats.org/officeDocument/2006/relationships/image" Target="media/image501.png"/><Relationship Id="rId554" Type="http://schemas.openxmlformats.org/officeDocument/2006/relationships/image" Target="media/image502.png"/><Relationship Id="rId555" Type="http://schemas.openxmlformats.org/officeDocument/2006/relationships/image" Target="media/image503.png"/><Relationship Id="rId556" Type="http://schemas.openxmlformats.org/officeDocument/2006/relationships/image" Target="media/image504.png"/><Relationship Id="rId557" Type="http://schemas.openxmlformats.org/officeDocument/2006/relationships/image" Target="media/image505.png"/><Relationship Id="rId558" Type="http://schemas.openxmlformats.org/officeDocument/2006/relationships/image" Target="media/image506.png"/><Relationship Id="rId559" Type="http://schemas.openxmlformats.org/officeDocument/2006/relationships/image" Target="media/image507.png"/><Relationship Id="rId560" Type="http://schemas.openxmlformats.org/officeDocument/2006/relationships/image" Target="media/image508.png"/><Relationship Id="rId561" Type="http://schemas.openxmlformats.org/officeDocument/2006/relationships/image" Target="media/image509.png"/><Relationship Id="rId562" Type="http://schemas.openxmlformats.org/officeDocument/2006/relationships/image" Target="media/image510.png"/><Relationship Id="rId563" Type="http://schemas.openxmlformats.org/officeDocument/2006/relationships/image" Target="media/image511.png"/><Relationship Id="rId564" Type="http://schemas.openxmlformats.org/officeDocument/2006/relationships/image" Target="media/image512.png"/><Relationship Id="rId565" Type="http://schemas.openxmlformats.org/officeDocument/2006/relationships/image" Target="media/image513.png"/><Relationship Id="rId566" Type="http://schemas.openxmlformats.org/officeDocument/2006/relationships/image" Target="media/image514.png"/><Relationship Id="rId567" Type="http://schemas.openxmlformats.org/officeDocument/2006/relationships/image" Target="media/image515.png"/><Relationship Id="rId568" Type="http://schemas.openxmlformats.org/officeDocument/2006/relationships/image" Target="media/image516.png"/><Relationship Id="rId569" Type="http://schemas.openxmlformats.org/officeDocument/2006/relationships/image" Target="media/image517.png"/><Relationship Id="rId570" Type="http://schemas.openxmlformats.org/officeDocument/2006/relationships/image" Target="media/image518.png"/><Relationship Id="rId571" Type="http://schemas.openxmlformats.org/officeDocument/2006/relationships/image" Target="media/image519.png"/><Relationship Id="rId572" Type="http://schemas.openxmlformats.org/officeDocument/2006/relationships/image" Target="media/image520.png"/><Relationship Id="rId573" Type="http://schemas.openxmlformats.org/officeDocument/2006/relationships/image" Target="media/image521.png"/><Relationship Id="rId434" Type="http://schemas.openxmlformats.org/officeDocument/2006/relationships/hyperlink" Target="http://www.sec.gov/Archives/edgar/data/1838957/000119312521176950/d893059dex31.htm" TargetMode="External"/><Relationship Id="rId435" Type="http://schemas.openxmlformats.org/officeDocument/2006/relationships/hyperlink" Target="http://www.sec.gov/Archives/edgar/data/1838957/000119312521176950/d893059dex32.htm" TargetMode="External"/><Relationship Id="rId436" Type="http://schemas.openxmlformats.org/officeDocument/2006/relationships/hyperlink" Target="http://www.sec.gov/Archives/edgar/data/1838957/000119312521176950/d893059dex42.htm" TargetMode="External"/><Relationship Id="rId437" Type="http://schemas.openxmlformats.org/officeDocument/2006/relationships/hyperlink" Target="http://www.sec.gov/Archives/edgar/data/1838957/000119312521176950/d893059dex44.htm" TargetMode="External"/><Relationship Id="rId438" Type="http://schemas.openxmlformats.org/officeDocument/2006/relationships/hyperlink" Target="http://www.sec.gov/Archives/edgar/data/1838957/000119312521176950/d893059dex51.htm" TargetMode="External"/><Relationship Id="rId439" Type="http://schemas.openxmlformats.org/officeDocument/2006/relationships/hyperlink" Target="http://www.sec.gov/Archives/edgar/data/1838957/000119312521176950/d893059dex992.htm" TargetMode="External"/><Relationship Id="rId440" Type="http://schemas.openxmlformats.org/officeDocument/2006/relationships/hyperlink" Target="http://www.sec.gov/Archives/edgar/data/1838957/000119312521176950/d893059dex101.htm" TargetMode="External"/><Relationship Id="rId441" Type="http://schemas.openxmlformats.org/officeDocument/2006/relationships/hyperlink" Target="http://www.sec.gov/Archives/edgar/data/1838957/000119312521176950/d893059dex102.htm" TargetMode="External"/><Relationship Id="rId442" Type="http://schemas.openxmlformats.org/officeDocument/2006/relationships/hyperlink" Target="http://www.sec.gov/Archives/edgar/data/1838957/000119312521176950/d893059dex103.htm" TargetMode="External"/><Relationship Id="rId443" Type="http://schemas.openxmlformats.org/officeDocument/2006/relationships/hyperlink" Target="http://www.sec.gov/Archives/edgar/data/1838957/000119312521176950/d893059dex104.htm" TargetMode="External"/><Relationship Id="rId444" Type="http://schemas.openxmlformats.org/officeDocument/2006/relationships/hyperlink" Target="http://www.sec.gov/Archives/edgar/data/1838957/000119312521176950/d893059dex105.htm" TargetMode="External"/><Relationship Id="rId445" Type="http://schemas.openxmlformats.org/officeDocument/2006/relationships/hyperlink" Target="http://www.sec.gov/Archives/edgar/data/1838957/000119312521176950/d893059dex106.htm" TargetMode="External"/><Relationship Id="rId446" Type="http://schemas.openxmlformats.org/officeDocument/2006/relationships/hyperlink" Target="http://www.sec.gov/Archives/edgar/data/1838957/000119312521176950/d893059dex107.htm" TargetMode="External"/><Relationship Id="rId447" Type="http://schemas.openxmlformats.org/officeDocument/2006/relationships/hyperlink" Target="http://www.sec.gov/Archives/edgar/data/1838957/000119312521176950/d893059dex108.htm" TargetMode="External"/><Relationship Id="rId448" Type="http://schemas.openxmlformats.org/officeDocument/2006/relationships/hyperlink" Target="http://www.sec.gov/Archives/edgar/data/1838957/000119312521176950/d893059dex109.htm" TargetMode="External"/><Relationship Id="rId449" Type="http://schemas.openxmlformats.org/officeDocument/2006/relationships/hyperlink" Target="http://www.sec.gov/Archives/edgar/data/1838957/000119312521176950/d893059dex1010.htm" TargetMode="External"/><Relationship Id="rId451" Type="http://schemas.openxmlformats.org/officeDocument/2006/relationships/hyperlink" Target="http://www.sec.gov/Archives/edgar/data/1838957/000119312521176950/d893059dex1011.htm" TargetMode="External"/><Relationship Id="rId452" Type="http://schemas.openxmlformats.org/officeDocument/2006/relationships/hyperlink" Target="http://www.sec.gov/Archives/edgar/data/1838957/000119312521176950/d893059dex1012.htm" TargetMode="External"/><Relationship Id="rId453" Type="http://schemas.openxmlformats.org/officeDocument/2006/relationships/hyperlink" Target="http://www.sec.gov/Archives/edgar/data/1838957/000119312521176950/d893059dex1013.htm" TargetMode="External"/><Relationship Id="rId454" Type="http://schemas.openxmlformats.org/officeDocument/2006/relationships/hyperlink" Target="http://www.sec.gov/Archives/edgar/data/1838957/000119312521176950/d893059dex1014.htm" TargetMode="External"/><Relationship Id="rId455" Type="http://schemas.openxmlformats.org/officeDocument/2006/relationships/hyperlink" Target="http://www.sec.gov/Archives/edgar/data/1838957/000119312521176950/d893059dex1015.htm" TargetMode="External"/><Relationship Id="rId456" Type="http://schemas.openxmlformats.org/officeDocument/2006/relationships/hyperlink" Target="http://www.sec.gov/Archives/edgar/data/1838957/000119312521176950/d893059dex1016.htm" TargetMode="External"/><Relationship Id="rId457" Type="http://schemas.openxmlformats.org/officeDocument/2006/relationships/hyperlink" Target="http://www.sec.gov/Archives/edgar/data/1838957/000119312521176950/d893059dex1017.htm" TargetMode="External"/><Relationship Id="rId458" Type="http://schemas.openxmlformats.org/officeDocument/2006/relationships/hyperlink" Target="http://www.sec.gov/Archives/edgar/data/1838957/000119312521176950/d893059dex1018.htm" TargetMode="External"/><Relationship Id="rId459" Type="http://schemas.openxmlformats.org/officeDocument/2006/relationships/hyperlink" Target="http://www.sec.gov/Archives/edgar/data/1838957/000119312521176950/d893059dex1019.htm" TargetMode="External"/><Relationship Id="rId460" Type="http://schemas.openxmlformats.org/officeDocument/2006/relationships/hyperlink" Target="http://www.sec.gov/Archives/edgar/data/1838957/000119312521176950/d893059dex1020.htm" TargetMode="External"/><Relationship Id="rId461" Type="http://schemas.openxmlformats.org/officeDocument/2006/relationships/hyperlink" Target="http://www.sec.gov/Archives/edgar/data/1838957/000119312521176950/d893059dex1021.htm" TargetMode="External"/><Relationship Id="rId462" Type="http://schemas.openxmlformats.org/officeDocument/2006/relationships/hyperlink" Target="http://www.sec.gov/Archives/edgar/data/1838957/000119312521176950/d893059dex1022.htm" TargetMode="External"/><Relationship Id="rId463" Type="http://schemas.openxmlformats.org/officeDocument/2006/relationships/hyperlink" Target="http://www.sec.gov/Archives/edgar/data/1838957/000119312521176950/d893059dex1023.htm" TargetMode="External"/><Relationship Id="rId464" Type="http://schemas.openxmlformats.org/officeDocument/2006/relationships/hyperlink" Target="http://www.sec.gov/Archives/edgar/data/1838957/000119312521176950/d893059dex1024.htm" TargetMode="External"/><Relationship Id="rId465" Type="http://schemas.openxmlformats.org/officeDocument/2006/relationships/hyperlink" Target="http://www.sec.gov/Archives/edgar/data/1838957/000119312521176950/d893059dex1025.htm" TargetMode="External"/><Relationship Id="rId466" Type="http://schemas.openxmlformats.org/officeDocument/2006/relationships/hyperlink" Target="http://www.sec.gov/Archives/edgar/data/1838957/000119312521176950/d893059dex1026.htm" TargetMode="External"/><Relationship Id="rId468" Type="http://schemas.openxmlformats.org/officeDocument/2006/relationships/hyperlink" Target="http://www.sec.gov/Archives/edgar/data/1838957/000119312521176950/d893059dex1027.htm" TargetMode="External"/><Relationship Id="rId469" Type="http://schemas.openxmlformats.org/officeDocument/2006/relationships/hyperlink" Target="http://www.sec.gov/Archives/edgar/data/1838957/000119312521176950/d893059dex1028.htm" TargetMode="External"/><Relationship Id="rId470" Type="http://schemas.openxmlformats.org/officeDocument/2006/relationships/hyperlink" Target="http://www.sec.gov/Archives/edgar/data/1838957/000119312521176950/d893059dex1029.htm" TargetMode="External"/><Relationship Id="rId471" Type="http://schemas.openxmlformats.org/officeDocument/2006/relationships/hyperlink" Target="http://www.sec.gov/Archives/edgar/data/1838957/000119312521176950/d893059dex1030.htm" TargetMode="External"/><Relationship Id="rId472" Type="http://schemas.openxmlformats.org/officeDocument/2006/relationships/hyperlink" Target="http://www.sec.gov/Archives/edgar/data/1838957/000119312521176950/d893059dex1031.htm" TargetMode="External"/><Relationship Id="rId473" Type="http://schemas.openxmlformats.org/officeDocument/2006/relationships/hyperlink" Target="http://www.sec.gov/Archives/edgar/data/1838957/000119312521176950/d893059dex1032.htm" TargetMode="External"/><Relationship Id="rId474" Type="http://schemas.openxmlformats.org/officeDocument/2006/relationships/hyperlink" Target="http://www.sec.gov/Archives/edgar/data/1838957/000119312521176950/d893059dex1033.htm" TargetMode="External"/><Relationship Id="rId475" Type="http://schemas.openxmlformats.org/officeDocument/2006/relationships/hyperlink" Target="http://www.sec.gov/Archives/edgar/data/1838957/000119312521176950/d893059dex211.htm" TargetMode="External"/><Relationship Id="rId476" Type="http://schemas.openxmlformats.org/officeDocument/2006/relationships/hyperlink" Target="http://www.sec.gov/Archives/edgar/data/1838957/000119312521176950/d893059dex234.htm" TargetMode="External"/><Relationship Id="rId477" Type="http://schemas.openxmlformats.org/officeDocument/2006/relationships/hyperlink" Target="http://www.sec.gov/Archives/edgar/data/1838957/000119312521176950/d893059dex235.htm" TargetMode="External"/><Relationship Id="rId478" Type="http://schemas.openxmlformats.org/officeDocument/2006/relationships/hyperlink" Target="http://www.sec.gov/Archives/edgar/data/1838957/000119312521176950/d893059df1.htm#sig" TargetMode="External"/><Relationship Id="rId479" Type="http://schemas.openxmlformats.org/officeDocument/2006/relationships/hyperlink" Target="http://www.sec.gov/Archives/edgar/data/1838957/000119312521176950/d893059dex991.htm" TargetMode="External"/><Relationship Id="rId480" Type="http://schemas.openxmlformats.org/officeDocument/2006/relationships/hyperlink" Target="http://www.sec.gov/Archives/edgar/data/1838957/000119312521176950/d893059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2021-06-04T15:37:20Z</dcterms:created>
  <dcterms:modified xsi:type="dcterms:W3CDTF">2021-06-04T15:37:20Z</dcterms:modified>
</cp:coreProperties>
</file>