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158750</wp:posOffset>
            </wp:positionV>
            <wp:extent cx="26403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199390</wp:posOffset>
            </wp:positionV>
            <wp:extent cx="2640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PURSUANT TO RULE 13a-16 OR 15d-16 UNDER</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For the month of November 2024</w:t>
      </w:r>
    </w:p>
    <w:p>
      <w:pPr>
        <w:spacing w:after="0" w:line="23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Commission File Number: 001-40486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176530</wp:posOffset>
            </wp:positionV>
            <wp:extent cx="2640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ATRenew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167640</wp:posOffset>
            </wp:positionV>
            <wp:extent cx="2640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12th Floor, No. 6 Building</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433 Songhu Road, Shanghai</w:t>
      </w:r>
    </w:p>
    <w:p>
      <w:pPr>
        <w:jc w:val="center"/>
        <w:ind w:right="-1100"/>
        <w:spacing w:after="0" w:line="235" w:lineRule="auto"/>
        <w:rPr>
          <w:sz w:val="20"/>
          <w:szCs w:val="20"/>
          <w:color w:val="auto"/>
        </w:rPr>
      </w:pPr>
      <w:r>
        <w:rPr>
          <w:rFonts w:ascii="Times New Roman" w:cs="Times New Roman" w:eastAsia="Times New Roman" w:hAnsi="Times New Roman"/>
          <w:sz w:val="22"/>
          <w:szCs w:val="22"/>
          <w:b w:val="1"/>
          <w:bCs w:val="1"/>
          <w:color w:val="auto"/>
        </w:rPr>
        <w:t>People’s Republic of China</w:t>
      </w:r>
    </w:p>
    <w:p>
      <w:pPr>
        <w:ind w:left="4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175895</wp:posOffset>
            </wp:positionV>
            <wp:extent cx="26403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Form 20-F or Form 40-F.</w:t>
      </w:r>
    </w:p>
    <w:p>
      <w:pPr>
        <w:spacing w:after="0" w:line="245" w:lineRule="exact"/>
        <w:rPr>
          <w:sz w:val="24"/>
          <w:szCs w:val="24"/>
          <w:color w:val="auto"/>
        </w:rPr>
      </w:pPr>
    </w:p>
    <w:p>
      <w:pPr>
        <w:ind w:left="4260"/>
        <w:spacing w:after="0"/>
        <w:tabs>
          <w:tab w:leader="none" w:pos="5780" w:val="left"/>
        </w:tabs>
        <w:rPr>
          <w:sz w:val="20"/>
          <w:szCs w:val="20"/>
          <w:color w:val="auto"/>
        </w:rPr>
      </w:pPr>
      <w:r>
        <w:rPr>
          <w:rFonts w:ascii="Times New Roman" w:cs="Times New Roman" w:eastAsia="Times New Roman" w:hAnsi="Times New Roman"/>
          <w:sz w:val="22"/>
          <w:szCs w:val="22"/>
          <w:color w:val="auto"/>
        </w:rPr>
        <w:t xml:space="preserve">Form 20-F </w:t>
      </w:r>
      <w:r>
        <w:rPr>
          <w:rFonts w:ascii="Wingdings" w:cs="Wingdings" w:eastAsia="Wingdings" w:hAnsi="Wingdings"/>
          <w:sz w:val="22"/>
          <w:szCs w:val="22"/>
          <w:b w:val="1"/>
          <w:bCs w:val="1"/>
          <w:color w:val="auto"/>
        </w:rPr>
        <w:t></w:t>
      </w:r>
      <w:r>
        <w:rPr>
          <w:sz w:val="20"/>
          <w:szCs w:val="20"/>
          <w:color w:val="auto"/>
        </w:rPr>
        <w:tab/>
      </w:r>
      <w:r>
        <w:rPr>
          <w:rFonts w:ascii="Times New Roman" w:cs="Times New Roman" w:eastAsia="Times New Roman" w:hAnsi="Times New Roman"/>
          <w:sz w:val="21"/>
          <w:szCs w:val="21"/>
          <w:color w:val="auto"/>
        </w:rPr>
        <w:t xml:space="preserve">Form 40-F </w:t>
      </w:r>
      <w:r>
        <w:rPr>
          <w:rFonts w:ascii="Wingdings" w:cs="Wingdings" w:eastAsia="Wingdings" w:hAnsi="Wingdings"/>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1644015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0" w:type="dxa"/>
            <w:vAlign w:val="bottom"/>
            <w:gridSpan w:val="2"/>
          </w:tcPr>
          <w:p>
            <w:pPr>
              <w:ind w:left="274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481"/>
        </w:trPr>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Exhibit No.</w:t>
            </w:r>
          </w:p>
        </w:tc>
        <w:tc>
          <w:tcPr>
            <w:tcW w:w="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gridSpan w:val="2"/>
          </w:tcPr>
          <w:p>
            <w:pPr>
              <w:ind w:left="4020"/>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03"/>
        </w:trPr>
        <w:tc>
          <w:tcPr>
            <w:tcW w:w="1680" w:type="dxa"/>
            <w:vAlign w:val="bottom"/>
            <w:gridSpan w:val="3"/>
          </w:tcPr>
          <w:p>
            <w:pPr>
              <w:jc w:val="center"/>
              <w:ind w:right="620"/>
              <w:spacing w:after="0" w:line="203" w:lineRule="exact"/>
              <w:rPr>
                <w:sz w:val="20"/>
                <w:szCs w:val="20"/>
                <w:color w:val="auto"/>
              </w:rPr>
            </w:pPr>
            <w:r>
              <w:rPr>
                <w:rFonts w:ascii="Times New Roman" w:cs="Times New Roman" w:eastAsia="Times New Roman" w:hAnsi="Times New Roman"/>
                <w:sz w:val="22"/>
                <w:szCs w:val="22"/>
                <w:color w:val="0000FF"/>
              </w:rPr>
              <w:t>99.</w:t>
            </w:r>
            <w:r>
              <w:rPr>
                <w:rFonts w:ascii="Times New Roman" w:cs="Times New Roman" w:eastAsia="Times New Roman" w:hAnsi="Times New Roman"/>
                <w:sz w:val="22"/>
                <w:szCs w:val="22"/>
                <w:u w:val="single" w:color="auto"/>
                <w:color w:val="0000FF"/>
              </w:rPr>
              <w:t>1</w:t>
            </w:r>
          </w:p>
        </w:tc>
        <w:tc>
          <w:tcPr>
            <w:tcW w:w="280" w:type="dxa"/>
            <w:vAlign w:val="bottom"/>
          </w:tcPr>
          <w:p>
            <w:pPr>
              <w:spacing w:after="0"/>
              <w:rPr>
                <w:sz w:val="17"/>
                <w:szCs w:val="17"/>
                <w:color w:val="auto"/>
              </w:rPr>
            </w:pPr>
          </w:p>
        </w:tc>
        <w:tc>
          <w:tcPr>
            <w:tcW w:w="9280" w:type="dxa"/>
            <w:vAlign w:val="bottom"/>
            <w:gridSpan w:val="3"/>
          </w:tcPr>
          <w:p>
            <w:pPr>
              <w:ind w:left="80"/>
              <w:spacing w:after="0" w:line="203" w:lineRule="exact"/>
              <w:rPr>
                <w:sz w:val="20"/>
                <w:szCs w:val="20"/>
                <w:color w:val="auto"/>
              </w:rPr>
            </w:pPr>
            <w:r>
              <w:rPr>
                <w:rFonts w:ascii="Times New Roman" w:cs="Times New Roman" w:eastAsia="Times New Roman" w:hAnsi="Times New Roman"/>
                <w:sz w:val="22"/>
                <w:szCs w:val="22"/>
                <w:color w:val="0000FF"/>
              </w:rPr>
              <w:t>ATRenew Inc. Reports Unaudited Third Quarter 2024 Financial Results</w:t>
            </w:r>
          </w:p>
        </w:tc>
      </w:tr>
      <w:tr>
        <w:trPr>
          <w:trHeight w:val="1890"/>
        </w:trPr>
        <w:tc>
          <w:tcPr>
            <w:tcW w:w="660" w:type="dxa"/>
            <w:vAlign w:val="bottom"/>
            <w:tcBorders>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20" w:type="dxa"/>
            <w:vAlign w:val="bottom"/>
            <w:tcBorders>
              <w:top w:val="single" w:sz="8" w:color="0000FF"/>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right="380" w:firstLine="749"/>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ATRenew Inc.</w:t>
      </w:r>
    </w:p>
    <w:p>
      <w:pPr>
        <w:spacing w:after="0" w:line="237" w:lineRule="exact"/>
        <w:rPr>
          <w:sz w:val="20"/>
          <w:szCs w:val="20"/>
          <w:color w:val="auto"/>
        </w:rPr>
      </w:pPr>
    </w:p>
    <w:tbl>
      <w:tblPr>
        <w:tblLayout w:type="fixed"/>
        <w:tblInd w:w="5960" w:type="dxa"/>
        <w:tblCellMar>
          <w:top w:w="0" w:type="dxa"/>
          <w:left w:w="0" w:type="dxa"/>
          <w:bottom w:w="0" w:type="dxa"/>
          <w:right w:w="0" w:type="dxa"/>
        </w:tblCellMar>
      </w:tblP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Chen Chen</w:t>
            </w:r>
          </w:p>
        </w:tc>
      </w:tr>
      <w:tr>
        <w:trPr>
          <w:trHeight w:val="211"/>
        </w:trPr>
        <w:tc>
          <w:tcPr>
            <w:tcW w:w="1120" w:type="dxa"/>
            <w:vAlign w:val="bottom"/>
          </w:tcPr>
          <w:p>
            <w:pPr>
              <w:spacing w:after="0" w:line="210" w:lineRule="exact"/>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line="210" w:lineRule="exact"/>
              <w:rPr>
                <w:sz w:val="20"/>
                <w:szCs w:val="20"/>
                <w:color w:val="auto"/>
              </w:rPr>
            </w:pPr>
            <w:r>
              <w:rPr>
                <w:rFonts w:ascii="Times New Roman" w:cs="Times New Roman" w:eastAsia="Times New Roman" w:hAnsi="Times New Roman"/>
                <w:sz w:val="22"/>
                <w:szCs w:val="22"/>
                <w:color w:val="auto"/>
              </w:rPr>
              <w:t>Chen Chen</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060" w:type="dxa"/>
            <w:vAlign w:val="bottom"/>
          </w:tcPr>
          <w:p>
            <w:pPr>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November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4" w:right="439" w:bottom="1440" w:gutter="0" w:footer="0" w:header="0"/>
        </w:sectPr>
      </w:pPr>
    </w:p>
    <w:bookmarkStart w:id="3" w:name="page4"/>
    <w:bookmarkEnd w:id="3"/>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DD5900"/>
        </w:rPr>
        <w:t>ATRenew Inc. Reports Unaudited Third Quarter 2024 Financial Results</w:t>
      </w:r>
    </w:p>
    <w:p>
      <w:pPr>
        <w:spacing w:after="0" w:line="2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SHANGHAI, November 20, 2024 /PRNewswire/ -- ATRenew Inc. ("ATRenew" or the "Company") (NYSE: RERE), a leading technology-driven pre-owned consumer electronics transactions and services platform in China, today announced its unaudited financial results for the three months ended September 30,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Highlights</w:t>
      </w:r>
    </w:p>
    <w:p>
      <w:pPr>
        <w:spacing w:after="0" w:line="144" w:lineRule="exact"/>
        <w:rPr>
          <w:sz w:val="20"/>
          <w:szCs w:val="20"/>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grew by 24.4% to RMB4,051.2 million (US$577.3 million) from RMB3,256.8 million in the third quarter of 2023.</w:t>
      </w:r>
    </w:p>
    <w:p>
      <w:pPr>
        <w:spacing w:after="0" w:line="157" w:lineRule="exact"/>
        <w:rPr>
          <w:rFonts w:ascii="Times New Roman" w:cs="Times New Roman" w:eastAsia="Times New Roman" w:hAnsi="Times New Roman"/>
          <w:sz w:val="18"/>
          <w:szCs w:val="18"/>
          <w:color w:val="auto"/>
        </w:rPr>
      </w:pPr>
    </w:p>
    <w:p>
      <w:pPr>
        <w:jc w:val="both"/>
        <w:ind w:left="380" w:hanging="372"/>
        <w:spacing w:after="0" w:line="244"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was RMB24.9 million (US$3.5 million), compared to a loss from operations of RMB28.1 million in the third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18"/>
          <w:szCs w:val="18"/>
          <w:b w:val="1"/>
          <w:bCs w:val="1"/>
          <w:color w:val="auto"/>
        </w:rPr>
        <w:t>Adjusted income from operations (non-GAAP)</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color w:val="auto"/>
        </w:rPr>
        <w:t xml:space="preserve"> was RMB104.0 million (US$14.8 million), compared to RMB73.8 million in the third quarter of 2023.</w:t>
      </w:r>
    </w:p>
    <w:p>
      <w:pPr>
        <w:spacing w:after="0" w:line="12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consumer products transacted</w:t>
      </w:r>
      <w:r>
        <w:rPr>
          <w:rFonts w:ascii="Times New Roman" w:cs="Times New Roman" w:eastAsia="Times New Roman" w:hAnsi="Times New Roman"/>
          <w:sz w:val="24"/>
          <w:szCs w:val="24"/>
          <w:b w:val="1"/>
          <w:bCs w:val="1"/>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9.1 million compared to 8.2 million in the third quarter of 2023.</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Kerry Xuefeng Chen, Founder, Chairman, and Chief Executive Officer of ATRenew, commented, “We are delighted to report that our total net revenues reached RMB4.05 billion in the third quarter of 2024, representing a robust year-over-year growth of 24.4%. We are particularly encouraged by the widespread adoption of our consumer electronics trade-in services, which provide consumers with a seamless experience and competitive pricing. Our AHS stores maintain their industry-leading position, serving as the preferred destination for users to recycle reusable consumer products and purchase quality-assured, value-for-money pre-owned electronic devices.”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Rex Chen, Chief Financial Officer of ATRenew, added, “The third quarter marked another milestone in our path to enhanced profitability, as we achieved positive GAAP income from operations and our non-GAAP income from operations exceeded RMB100 million for the first time. These results reflect our successful initiatives to optimize operating expenses and the diminishing impact of amortization expenses from historical acquisitions. We also demonstrated our commitment to shareholder returns by repurchasing over US$12 million of our shares during the quarter. Looking ahead, we remain focused on driving operational efficiency and delivering sustainable value to our users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856615</wp:posOffset>
            </wp:positionV>
            <wp:extent cx="23742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hanging="112"/>
        <w:spacing w:after="0"/>
        <w:tabs>
          <w:tab w:leader="none" w:pos="120"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“Reconciliations of GAAP and Non-GAAP Results” for more information.</w:t>
      </w:r>
    </w:p>
    <w:p>
      <w:pPr>
        <w:spacing w:after="0" w:line="15" w:lineRule="exact"/>
        <w:rPr>
          <w:rFonts w:ascii="Times New Roman" w:cs="Times New Roman" w:eastAsia="Times New Roman" w:hAnsi="Times New Roman"/>
          <w:sz w:val="22"/>
          <w:szCs w:val="22"/>
          <w:color w:val="auto"/>
          <w:vertAlign w:val="superscript"/>
        </w:rPr>
      </w:pPr>
    </w:p>
    <w:p>
      <w:pPr>
        <w:jc w:val="both"/>
        <w:ind w:firstLine="8"/>
        <w:spacing w:after="0" w:line="329" w:lineRule="auto"/>
        <w:tabs>
          <w:tab w:leader="none" w:pos="120"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“Number of consumer products transacted” represents the number of consumer products distributed to merchants and consumers through transactions on the Company’s PJT Marketplace, Paipai Marketplace and other channels the Company operates in a given period, prior to returns and cancellations, excluding the number of consumer products collected through AHS Recycle; a single consumer product may be counted more than once according to the number of times it is transacted on PJT Marketplace, Paipai Marketplace and other channels the Company operates through the distribution process to end consumer.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Results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revenues increased by 24.4% to RMB4,051.2 million (US$577.3 million) from RMB3,256.8 million in the same period of 2023.</w:t>
      </w:r>
    </w:p>
    <w:p>
      <w:pPr>
        <w:spacing w:after="0" w:line="158" w:lineRule="exact"/>
        <w:rPr>
          <w:sz w:val="20"/>
          <w:szCs w:val="20"/>
          <w:color w:val="auto"/>
        </w:rPr>
      </w:pPr>
    </w:p>
    <w:p>
      <w:pPr>
        <w:jc w:val="both"/>
        <w:ind w:left="380" w:hanging="372"/>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revenues increased by 25.6% to RMB3,672.2 million (US$523.3 million) from RMB2,924.0 million in the same period of 2023. The increase was primarily attributable to an increase in the sales of pre-owned consumer electronics both through the Company’s online and offline channels.</w:t>
      </w:r>
    </w:p>
    <w:p>
      <w:pPr>
        <w:spacing w:after="0" w:line="94"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service revenues increased by 13.9% to RMB379.0 million (US$54.0 million), compared to RMB332.8 million in the same period of 2023. This increase was primarily due to an increase in the service revenue generated from PJT Marketplace and multi-category recycling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Operating costs and expenses were RMB4,028.1 million (US$574.0 million), compared to RMB3,307.5 million in the same period of 2023, representing an increase of 21.8%.</w:t>
      </w:r>
    </w:p>
    <w:p>
      <w:pPr>
        <w:spacing w:after="0" w:line="81" w:lineRule="exact"/>
        <w:rPr>
          <w:sz w:val="20"/>
          <w:szCs w:val="20"/>
          <w:color w:val="auto"/>
        </w:rPr>
      </w:pPr>
    </w:p>
    <w:p>
      <w:pPr>
        <w:ind w:left="38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Merchandise costs were RMB3,242.8 million (US$462.1 million), compared to RMB2,611.0 million in the same period of 2023, representing an increase of 24.2%. This was primarily due to the growth in product sales.</w:t>
      </w:r>
    </w:p>
    <w:p>
      <w:pPr>
        <w:spacing w:after="0" w:line="94"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Fulfillment expenses were RMB347.3 million (US$49.5 million), compared to RMB287.7 million in the same period of 2023, representing an increase of 20.7%. The increase was primarily due to (i) an increase in personnel costs and logistics expenses as the Company conducted more recycling and transaction activities compared with the same period of 2023, and (ii) an increase in operation center related expenses as the Company expanded its store networks in the third quarter of 2024.</w:t>
      </w:r>
    </w:p>
    <w:p>
      <w:pPr>
        <w:spacing w:after="0" w:line="112"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expenses were RMB315.3 million (US$44.9 million), compared to RMB299.5 million in the same period of 2023, representing an increase of 5.3%. The increase was primarily due to (i) an increase in advertising expenses and promotional campaign related expenses, and (ii) an increase in share-based compensation expenses. The increase was partially offset by a decrease in amortization of intangible assets and deferred cost resulting from assets and business acquisitions as the maturity of some intangible assets and deferred cost in the third quarter of 2023.</w:t>
      </w:r>
    </w:p>
    <w:p>
      <w:pPr>
        <w:spacing w:after="0" w:line="98"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RMB69.3 million (US$9.9 million), compared to RMB69.8 million in the same period of 2023, representing a decrease of 0.7%, primarily due to a decrease in share-based compensation expenses. The decrease was partially offset by an increase in other personnel cost.</w:t>
      </w:r>
    </w:p>
    <w:p>
      <w:pPr>
        <w:spacing w:after="0" w:line="108"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and content expenses were RMB53.4 million (US$7.6 million), compared to RMB39.4 million in the same period of 2023, representing an increase of 35.5%. The increase was primarily due to an increase in personnel costs in connection with the ongoing maintenance of the Company’s operation centers and system.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operations was RMB24.9 million (US$3.5 million), compared to a loss from operations of RMB28.1 million in the same period of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income from operations (non-GAAP) was RMB104.0 million (US$14.8 million), compared to RMB73.8 million in the same period of 2023.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RMB17.9 million (US$2.6 million), compared to a net loss of RMB44.2 million in the same period of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net income (non-GAAP) was RMB90.1 million (US$12.8 million), compared to RMB47.6 million in the same period of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INCOME PER ORDINARY SHARE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income per ordinary share were RMB0.11 (US$0.02), compared to basic and diluted net loss of RMB0.27 in the same period of 2023.</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basic and diluted net income per ordinary share (non-GAAP) were RMB0.56 (US$0.08) and RMB0.55 (US$0.08), compared to RMB0.30 and RMB0.29 in the same period of 2023.</w:t>
      </w:r>
    </w:p>
    <w:p>
      <w:pPr>
        <w:spacing w:after="0" w:line="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 RESTRICTED CASH, SHORT-TERM INVESTMENTS AND FUNDS RECEIVABLE FROM THIRD PARTY PAYMENT SERVICE PROVIDERS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restricted cash, short-term investments and funds receivable from third party payment service providers were RMB2,350.5 million (US$334.9 million) as of September 30, 2024, as compared to RMB2,854.4 million as of December 31, 2023.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fourth quarter of 2024, the Company currently expects its total revenues to be between RMB4,740.0 million and RMB4,840.0 million, representing an increase of 22.4% to 24.9% year-over-year. This forecast only reflects the Company's current and preliminary views on the market and operational conditions, which are subject to change.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29, 2024, ATRenew announced an improvement in its Environmental, Social and Governance (ESG) score as assessed by S&amp;P Global's Corporate Sustainability Assessment in 2024, placing it in the 93rd percentile among its global RTS retailing industry peers. This is primarily attributable to ATRenew's commitment to ESG, particularly greater transparency in its climate strategy, human capital management, and business ethics.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2024, ATRenew repurchased a total of approximately 4.9 million ADSs for approximately US$12.1 million under its current share repurchase program which authorizes the Company to repurchase up to US$50 million worth of its shares (including ADSs) through June 27, 2025. As of September 30, 2024, the Company had repurchased a total of approximately 8.2 million ADSs for approximately US$20.1 million under this share repurchase program.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will hold a conference call on Wednesday, November 20, 2024 at 07:00 A.M. Eastern Time (or 08:00 P.M. Beijing Time on the same day) to discuss the financial results. Listeners may access the call by dialing the following numbers: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1-412-317-6061</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Toll Free:</w:t>
            </w:r>
          </w:p>
        </w:tc>
        <w:tc>
          <w:tcPr>
            <w:tcW w:w="2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1-888-317-6003</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 Toll Free:</w:t>
            </w:r>
          </w:p>
        </w:tc>
        <w:tc>
          <w:tcPr>
            <w:tcW w:w="20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4001-206115</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Hong Kong Toll Free:</w:t>
            </w:r>
          </w:p>
        </w:tc>
        <w:tc>
          <w:tcPr>
            <w:tcW w:w="20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800-963976</w:t>
            </w: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Access Code:</w:t>
            </w:r>
          </w:p>
        </w:tc>
        <w:tc>
          <w:tcPr>
            <w:tcW w:w="20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3668505</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replay will be accessible through November 27, 2024 by dialing the following numbers: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1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1-412-317-0088</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Toll Free:</w:t>
            </w:r>
          </w:p>
        </w:tc>
        <w:tc>
          <w:tcPr>
            <w:tcW w:w="21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1-877-344-7529</w:t>
            </w: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Access Code:</w:t>
            </w:r>
          </w:p>
        </w:tc>
        <w:tc>
          <w:tcPr>
            <w:tcW w:w="21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3972162</w:t>
            </w: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also be available at the Company’s investor relations website at ir.atrenew.com.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ATRenew Inc.</w:t>
      </w:r>
    </w:p>
    <w:p>
      <w:pPr>
        <w:spacing w:after="0" w:line="1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Headquartered in Shanghai, ATRenew Inc. operates a leading technology-driven pre-owned consumer electronics transactions and services platform in China under the brand ATRenew. Since its inception in 2011, ATRenew has been on a mission to give a second life to all idle goods, addressing the environmental impact of pre-owned consumer electronics by facilitating recycling and trade-in services, and distributing the devices to prolong their lifecycle. ATRenew's open platform integrates C2B, B2B, and B2C capabilities to empower its online and offline services. Through its end-to-end coverage of the entire value chain and its proprietary inspection, grading, and pricing technologies, ATRenew sets the standard for China's pre-owned consumer electronics industry. ATRenew is a participant in the United Nations Global Compact, and adheres to its principles-based approach to responsible business.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at specified rates solely for the convenience of the reader. Unless otherwise noted, all translations from RMB to U.S. dollars are made at a rate of RMB7.0176 to US$1.00, the exchange rate set forth in the H.10 statistical release of the Board of Governors of the Federal Reserve System as of September 30, 2024.</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uses certain non-GAAP financial measures in evaluating its business. For example, the Company uses adjusted income from operations, adjusted net income and adjusted net income per ordinary share as supplemental measures to review and assess its financial and operating performance. The presentation of these non-GAAP financial measures is not intended to be considered in isolation, or as a substitute for the financial information prepared and presented in accordance with U.S. GAAP. Adjusted income from operations is loss from operations excluding the share-based compensation expenses and amortization of intangible assets and deferred cost resulting from assets and business acquisitions. Adjusted net income is net loss excluding the share-based compensation expenses and amortization of intangible assets and deferred cost resulting from assets and business acquisitions and tax effects of amortization of intangible assets and deferred cost resulting from assets and business acquisitions. Adjusted net income per ordinary share is adjusted net income attributable to ordinary shareholders divided by weighted average number of shares used in calculating net loss per ordinary share.</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presents non-GAAP financial measures because they are used by the Company’s management to evaluate the Company’s financial and operating performance and formulate business plans. The Company believes that adjusted income from operations and adjusted net income help identify underlying trends in the Company’s business that could otherwise be distorted by the effect of certain expenses that are included in loss from operations and net loss. The Company also believes that the use of non-GAAP financial measures facilitates investors’ assessment of the Company’s operating performance. The Company believes that adjusted income from operations and adjusted net income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 making.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non-GAAP financial measures are not defined under U.S. GAAP and are not presented in accordance with U.S. GAAP. The non-GAAP financial measures have limitations as analytical tools. One of the key limitations of using non-GAAP financial measures is that they do not reflect all items of income and expense that affect the Company’s operations. The share-based compensation expenses, amortization of intangible assets and deferred cost resulting from assets and business acquisitions and tax effects of amortization of intangible assets and deferred cost resulting from assets and business acquisitions have been and may continue to be incurred in the Company’s business and is not reflected in the presentation of non-GAAP financial measures. Further, the non-GAAP measures may differ from the non-GAAP measures used by other companies, including peer companies, potentially limiting the comparability of their financial results to the Company’s. In light of the foregoing limitations, the non-GAAP financial measures for the period should not be considered in isolation from or as an alternative to income from operations, net income, and net income attributable to ordinary shareholders per share, or other financial measures prepared in accordance with U.S. GAAP.</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compensates for these limitations by reconciling the non-GAAP financial measures to the nearest U.S. GAAP performance measures, which should be considered when evaluating the Company’s performance. For reconciliations of these non-GAAP financial measures to the most directly comparable GAAP financial measures, please see the section of the accompanying tables titled, “Reconciliations of GAAP and Non-GAAP Results.”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quotations in this announcement, contain forward-looking statements. ATRenew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ATRenew's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ATRenew's strategies; ATRenew's future business development, financial condition and results of operations; ATRenew's ability to maintain its relationship with major strategic investors; its ability to facilitate pre-owned consumer electronics transactions and provide relevant services; its ability to maintain and enhance the recognition and reputation of its brand; general economic and business conditions globally and in China and assumptions underlying or related to any of the foregoing. Further information regarding these and other risks is included in ATRenew's filings with the SEC. All information provided in this press release is as of the date of this press release, and ATRenew does not undertake any obligation to update any forward-looking statement, except as required under applicable law.</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China: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ATRenew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ir@atrenew.com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United States: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atrenew@icrinc.com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+1-212-537-0461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and otherwise noted)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80" w:type="dxa"/>
            <w:vAlign w:val="bottom"/>
          </w:tcPr>
          <w:p>
            <w:pPr>
              <w:spacing w:after="0"/>
              <w:rPr>
                <w:sz w:val="13"/>
                <w:szCs w:val="13"/>
                <w:color w:val="auto"/>
              </w:rPr>
            </w:pPr>
          </w:p>
        </w:tc>
        <w:tc>
          <w:tcPr>
            <w:tcW w:w="22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140" w:type="dxa"/>
            <w:vAlign w:val="bottom"/>
          </w:tcPr>
          <w:p>
            <w:pPr>
              <w:spacing w:after="0"/>
              <w:rPr>
                <w:sz w:val="13"/>
                <w:szCs w:val="13"/>
                <w:color w:val="auto"/>
              </w:rPr>
            </w:pPr>
          </w:p>
        </w:tc>
        <w:tc>
          <w:tcPr>
            <w:tcW w:w="2660" w:type="dxa"/>
            <w:vAlign w:val="bottom"/>
            <w:tcBorders>
              <w:bottom w:val="single" w:sz="8" w:color="auto"/>
            </w:tcBorders>
            <w:gridSpan w:val="3"/>
          </w:tcPr>
          <w:p>
            <w:pPr>
              <w:jc w:val="center"/>
              <w:ind w:left="1147"/>
              <w:spacing w:after="0"/>
              <w:rPr>
                <w:sz w:val="20"/>
                <w:szCs w:val="20"/>
                <w:color w:val="auto"/>
              </w:rPr>
            </w:pPr>
            <w:r>
              <w:rPr>
                <w:rFonts w:ascii="Times New Roman" w:cs="Times New Roman" w:eastAsia="Times New Roman" w:hAnsi="Times New Roman"/>
                <w:sz w:val="13"/>
                <w:szCs w:val="13"/>
                <w:b w:val="1"/>
                <w:bCs w:val="1"/>
                <w:color w:val="auto"/>
                <w:w w:val="97"/>
              </w:rPr>
              <w:t>As of September 30,</w:t>
            </w:r>
          </w:p>
        </w:tc>
        <w:tc>
          <w:tcPr>
            <w:tcW w:w="1320" w:type="dxa"/>
            <w:vAlign w:val="bottom"/>
            <w:tcBorders>
              <w:bottom w:val="single" w:sz="8" w:color="auto"/>
            </w:tcBorders>
          </w:tcPr>
          <w:p>
            <w:pPr>
              <w:spacing w:after="0"/>
              <w:rPr>
                <w:sz w:val="13"/>
                <w:szCs w:val="13"/>
                <w:color w:val="auto"/>
              </w:rPr>
            </w:pPr>
          </w:p>
        </w:tc>
      </w:tr>
      <w:tr>
        <w:trPr>
          <w:trHeight w:val="129"/>
        </w:trPr>
        <w:tc>
          <w:tcPr>
            <w:tcW w:w="4880" w:type="dxa"/>
            <w:vAlign w:val="bottom"/>
          </w:tcPr>
          <w:p>
            <w:pPr>
              <w:spacing w:after="0"/>
              <w:rPr>
                <w:sz w:val="11"/>
                <w:szCs w:val="11"/>
                <w:color w:val="auto"/>
              </w:rPr>
            </w:pPr>
          </w:p>
        </w:tc>
        <w:tc>
          <w:tcPr>
            <w:tcW w:w="2240" w:type="dxa"/>
            <w:vAlign w:val="bottom"/>
            <w:tcBorders>
              <w:bottom w:val="single" w:sz="8" w:color="auto"/>
            </w:tcBorders>
          </w:tcPr>
          <w:p>
            <w:pPr>
              <w:jc w:val="center"/>
              <w:ind w:right="45"/>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2023</w:t>
            </w:r>
          </w:p>
        </w:tc>
        <w:tc>
          <w:tcPr>
            <w:tcW w:w="140" w:type="dxa"/>
            <w:vAlign w:val="bottom"/>
          </w:tcPr>
          <w:p>
            <w:pPr>
              <w:spacing w:after="0"/>
              <w:rPr>
                <w:sz w:val="11"/>
                <w:szCs w:val="11"/>
                <w:color w:val="auto"/>
              </w:rPr>
            </w:pPr>
          </w:p>
        </w:tc>
        <w:tc>
          <w:tcPr>
            <w:tcW w:w="2660" w:type="dxa"/>
            <w:vAlign w:val="bottom"/>
            <w:tcBorders>
              <w:bottom w:val="single" w:sz="8" w:color="auto"/>
            </w:tcBorders>
            <w:gridSpan w:val="3"/>
          </w:tcPr>
          <w:p>
            <w:pPr>
              <w:jc w:val="right"/>
              <w:ind w:right="60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320" w:type="dxa"/>
            <w:vAlign w:val="bottom"/>
            <w:tcBorders>
              <w:bottom w:val="single" w:sz="8" w:color="auto"/>
            </w:tcBorders>
          </w:tcPr>
          <w:p>
            <w:pPr>
              <w:spacing w:after="0"/>
              <w:rPr>
                <w:sz w:val="11"/>
                <w:szCs w:val="11"/>
                <w:color w:val="auto"/>
              </w:rPr>
            </w:pPr>
          </w:p>
        </w:tc>
      </w:tr>
      <w:tr>
        <w:trPr>
          <w:trHeight w:val="128"/>
        </w:trPr>
        <w:tc>
          <w:tcPr>
            <w:tcW w:w="4880" w:type="dxa"/>
            <w:vAlign w:val="bottom"/>
          </w:tcPr>
          <w:p>
            <w:pPr>
              <w:spacing w:after="0"/>
              <w:rPr>
                <w:sz w:val="11"/>
                <w:szCs w:val="11"/>
                <w:color w:val="auto"/>
              </w:rPr>
            </w:pPr>
          </w:p>
        </w:tc>
        <w:tc>
          <w:tcPr>
            <w:tcW w:w="2240" w:type="dxa"/>
            <w:vAlign w:val="bottom"/>
          </w:tcPr>
          <w:p>
            <w:pPr>
              <w:jc w:val="center"/>
              <w:ind w:right="45"/>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140" w:type="dxa"/>
            <w:vAlign w:val="bottom"/>
          </w:tcPr>
          <w:p>
            <w:pPr>
              <w:spacing w:after="0"/>
              <w:rPr>
                <w:sz w:val="11"/>
                <w:szCs w:val="11"/>
                <w:color w:val="auto"/>
              </w:rPr>
            </w:pPr>
          </w:p>
        </w:tc>
        <w:tc>
          <w:tcPr>
            <w:tcW w:w="2660" w:type="dxa"/>
            <w:vAlign w:val="bottom"/>
            <w:gridSpan w:val="3"/>
          </w:tcPr>
          <w:p>
            <w:pPr>
              <w:ind w:left="76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320" w:type="dxa"/>
            <w:vAlign w:val="bottom"/>
          </w:tcPr>
          <w:p>
            <w:pPr>
              <w:jc w:val="right"/>
              <w:ind w:right="824"/>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r>
      <w:tr>
        <w:trPr>
          <w:trHeight w:val="162"/>
        </w:trPr>
        <w:tc>
          <w:tcPr>
            <w:tcW w:w="488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ASSETS</w:t>
            </w:r>
          </w:p>
        </w:tc>
        <w:tc>
          <w:tcPr>
            <w:tcW w:w="2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r>
      <w:tr>
        <w:trPr>
          <w:trHeight w:val="162"/>
        </w:trPr>
        <w:tc>
          <w:tcPr>
            <w:tcW w:w="488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Current assets:</w:t>
            </w: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88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224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1,978,696</w:t>
            </w:r>
          </w:p>
        </w:tc>
        <w:tc>
          <w:tcPr>
            <w:tcW w:w="2060" w:type="dxa"/>
            <w:vAlign w:val="bottom"/>
            <w:gridSpan w:val="2"/>
            <w:shd w:val="clear" w:color="auto" w:fill="CFF0FC"/>
          </w:tcPr>
          <w:p>
            <w:pPr>
              <w:jc w:val="right"/>
              <w:ind w:right="47"/>
              <w:spacing w:after="0" w:line="162" w:lineRule="exact"/>
              <w:rPr>
                <w:sz w:val="20"/>
                <w:szCs w:val="20"/>
                <w:color w:val="auto"/>
              </w:rPr>
            </w:pPr>
            <w:r>
              <w:rPr>
                <w:rFonts w:ascii="Times New Roman" w:cs="Times New Roman" w:eastAsia="Times New Roman" w:hAnsi="Times New Roman"/>
                <w:sz w:val="15"/>
                <w:szCs w:val="15"/>
                <w:color w:val="auto"/>
              </w:rPr>
              <w:t>1,347,338</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191,994</w:t>
            </w:r>
          </w:p>
        </w:tc>
      </w:tr>
      <w:tr>
        <w:trPr>
          <w:trHeight w:val="162"/>
        </w:trPr>
        <w:tc>
          <w:tcPr>
            <w:tcW w:w="488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Restricted cash</w:t>
            </w:r>
          </w:p>
        </w:tc>
        <w:tc>
          <w:tcPr>
            <w:tcW w:w="224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210,000</w:t>
            </w:r>
          </w:p>
        </w:tc>
        <w:tc>
          <w:tcPr>
            <w:tcW w:w="2060" w:type="dxa"/>
            <w:vAlign w:val="bottom"/>
            <w:gridSpan w:val="2"/>
          </w:tcPr>
          <w:p>
            <w:pPr>
              <w:jc w:val="right"/>
              <w:ind w:right="47"/>
              <w:spacing w:after="0" w:line="162" w:lineRule="exact"/>
              <w:rPr>
                <w:sz w:val="20"/>
                <w:szCs w:val="20"/>
                <w:color w:val="auto"/>
              </w:rPr>
            </w:pPr>
            <w:r>
              <w:rPr>
                <w:rFonts w:ascii="Times New Roman" w:cs="Times New Roman" w:eastAsia="Times New Roman" w:hAnsi="Times New Roman"/>
                <w:sz w:val="15"/>
                <w:szCs w:val="15"/>
                <w:color w:val="auto"/>
              </w:rPr>
              <w:t>132,000</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18,810</w:t>
            </w:r>
          </w:p>
        </w:tc>
      </w:tr>
      <w:tr>
        <w:trPr>
          <w:trHeight w:val="162"/>
        </w:trPr>
        <w:tc>
          <w:tcPr>
            <w:tcW w:w="488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Short-term investments</w:t>
            </w:r>
          </w:p>
        </w:tc>
        <w:tc>
          <w:tcPr>
            <w:tcW w:w="224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410,547</w:t>
            </w:r>
          </w:p>
        </w:tc>
        <w:tc>
          <w:tcPr>
            <w:tcW w:w="2060" w:type="dxa"/>
            <w:vAlign w:val="bottom"/>
            <w:gridSpan w:val="2"/>
            <w:shd w:val="clear" w:color="auto" w:fill="CFF0FC"/>
          </w:tcPr>
          <w:p>
            <w:pPr>
              <w:jc w:val="right"/>
              <w:ind w:right="47"/>
              <w:spacing w:after="0" w:line="162" w:lineRule="exact"/>
              <w:rPr>
                <w:sz w:val="20"/>
                <w:szCs w:val="20"/>
                <w:color w:val="auto"/>
              </w:rPr>
            </w:pPr>
            <w:r>
              <w:rPr>
                <w:rFonts w:ascii="Times New Roman" w:cs="Times New Roman" w:eastAsia="Times New Roman" w:hAnsi="Times New Roman"/>
                <w:sz w:val="15"/>
                <w:szCs w:val="15"/>
                <w:color w:val="auto"/>
              </w:rPr>
              <w:t>630,123</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89,792</w:t>
            </w:r>
          </w:p>
        </w:tc>
      </w:tr>
      <w:tr>
        <w:trPr>
          <w:trHeight w:val="162"/>
        </w:trPr>
        <w:tc>
          <w:tcPr>
            <w:tcW w:w="488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Amount due from related parties, net</w:t>
            </w:r>
          </w:p>
        </w:tc>
        <w:tc>
          <w:tcPr>
            <w:tcW w:w="224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89,592</w:t>
            </w:r>
          </w:p>
        </w:tc>
        <w:tc>
          <w:tcPr>
            <w:tcW w:w="2060" w:type="dxa"/>
            <w:vAlign w:val="bottom"/>
            <w:gridSpan w:val="2"/>
          </w:tcPr>
          <w:p>
            <w:pPr>
              <w:jc w:val="right"/>
              <w:ind w:right="47"/>
              <w:spacing w:after="0" w:line="162" w:lineRule="exact"/>
              <w:rPr>
                <w:sz w:val="20"/>
                <w:szCs w:val="20"/>
                <w:color w:val="auto"/>
              </w:rPr>
            </w:pPr>
            <w:r>
              <w:rPr>
                <w:rFonts w:ascii="Times New Roman" w:cs="Times New Roman" w:eastAsia="Times New Roman" w:hAnsi="Times New Roman"/>
                <w:sz w:val="15"/>
                <w:szCs w:val="15"/>
                <w:color w:val="auto"/>
              </w:rPr>
              <w:t>218,771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31,175</w:t>
            </w:r>
          </w:p>
        </w:tc>
      </w:tr>
      <w:tr>
        <w:trPr>
          <w:trHeight w:val="162"/>
        </w:trPr>
        <w:tc>
          <w:tcPr>
            <w:tcW w:w="488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Inventories</w:t>
            </w:r>
          </w:p>
        </w:tc>
        <w:tc>
          <w:tcPr>
            <w:tcW w:w="224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1,017,155</w:t>
            </w:r>
          </w:p>
        </w:tc>
        <w:tc>
          <w:tcPr>
            <w:tcW w:w="2060" w:type="dxa"/>
            <w:vAlign w:val="bottom"/>
            <w:gridSpan w:val="2"/>
            <w:shd w:val="clear" w:color="auto" w:fill="CFF0FC"/>
          </w:tcPr>
          <w:p>
            <w:pPr>
              <w:jc w:val="right"/>
              <w:ind w:right="47"/>
              <w:spacing w:after="0" w:line="162" w:lineRule="exact"/>
              <w:rPr>
                <w:sz w:val="20"/>
                <w:szCs w:val="20"/>
                <w:color w:val="auto"/>
              </w:rPr>
            </w:pPr>
            <w:r>
              <w:rPr>
                <w:rFonts w:ascii="Times New Roman" w:cs="Times New Roman" w:eastAsia="Times New Roman" w:hAnsi="Times New Roman"/>
                <w:sz w:val="15"/>
                <w:szCs w:val="15"/>
                <w:color w:val="auto"/>
              </w:rPr>
              <w:t>678,026</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96,618</w:t>
            </w:r>
          </w:p>
        </w:tc>
      </w:tr>
      <w:tr>
        <w:trPr>
          <w:trHeight w:val="162"/>
        </w:trPr>
        <w:tc>
          <w:tcPr>
            <w:tcW w:w="488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Funds receivable from third party payment service providers</w:t>
            </w:r>
          </w:p>
        </w:tc>
        <w:tc>
          <w:tcPr>
            <w:tcW w:w="224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253,107</w:t>
            </w:r>
          </w:p>
        </w:tc>
        <w:tc>
          <w:tcPr>
            <w:tcW w:w="2060" w:type="dxa"/>
            <w:vAlign w:val="bottom"/>
            <w:gridSpan w:val="2"/>
          </w:tcPr>
          <w:p>
            <w:pPr>
              <w:jc w:val="right"/>
              <w:ind w:right="47"/>
              <w:spacing w:after="0" w:line="162" w:lineRule="exact"/>
              <w:rPr>
                <w:sz w:val="20"/>
                <w:szCs w:val="20"/>
                <w:color w:val="auto"/>
              </w:rPr>
            </w:pPr>
            <w:r>
              <w:rPr>
                <w:rFonts w:ascii="Times New Roman" w:cs="Times New Roman" w:eastAsia="Times New Roman" w:hAnsi="Times New Roman"/>
                <w:sz w:val="15"/>
                <w:szCs w:val="15"/>
                <w:color w:val="auto"/>
              </w:rPr>
              <w:t>241,047</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34,349</w:t>
            </w:r>
          </w:p>
        </w:tc>
      </w:tr>
      <w:tr>
        <w:trPr>
          <w:trHeight w:val="162"/>
        </w:trPr>
        <w:tc>
          <w:tcPr>
            <w:tcW w:w="4880" w:type="dxa"/>
            <w:vAlign w:val="bottom"/>
            <w:tcBorders>
              <w:bottom w:val="single" w:sz="8" w:color="CFF0FC"/>
            </w:tcBorders>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Prepayments and other receivables, net</w:t>
            </w:r>
          </w:p>
        </w:tc>
        <w:tc>
          <w:tcPr>
            <w:tcW w:w="2240" w:type="dxa"/>
            <w:vAlign w:val="bottom"/>
            <w:tcBorders>
              <w:bottom w:val="single" w:sz="8" w:color="auto"/>
            </w:tcBorders>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567,622</w:t>
            </w:r>
          </w:p>
        </w:tc>
        <w:tc>
          <w:tcPr>
            <w:tcW w:w="140" w:type="dxa"/>
            <w:vAlign w:val="bottom"/>
            <w:tcBorders>
              <w:bottom w:val="single" w:sz="8" w:color="CFF0FC"/>
            </w:tcBorders>
            <w:shd w:val="clear" w:color="auto" w:fill="CFF0FC"/>
          </w:tcPr>
          <w:p>
            <w:pPr>
              <w:spacing w:after="0"/>
              <w:rPr>
                <w:sz w:val="14"/>
                <w:szCs w:val="14"/>
                <w:color w:val="auto"/>
              </w:rPr>
            </w:pPr>
          </w:p>
        </w:tc>
        <w:tc>
          <w:tcPr>
            <w:tcW w:w="1920" w:type="dxa"/>
            <w:vAlign w:val="bottom"/>
            <w:tcBorders>
              <w:bottom w:val="single" w:sz="8" w:color="auto"/>
            </w:tcBorders>
            <w:shd w:val="clear" w:color="auto" w:fill="CFF0FC"/>
          </w:tcPr>
          <w:p>
            <w:pPr>
              <w:jc w:val="right"/>
              <w:ind w:right="47"/>
              <w:spacing w:after="0" w:line="162" w:lineRule="exact"/>
              <w:rPr>
                <w:sz w:val="20"/>
                <w:szCs w:val="20"/>
                <w:color w:val="auto"/>
              </w:rPr>
            </w:pPr>
            <w:r>
              <w:rPr>
                <w:rFonts w:ascii="Times New Roman" w:cs="Times New Roman" w:eastAsia="Times New Roman" w:hAnsi="Times New Roman"/>
                <w:sz w:val="15"/>
                <w:szCs w:val="15"/>
                <w:color w:val="auto"/>
              </w:rPr>
              <w:t>754,617</w:t>
            </w:r>
          </w:p>
        </w:tc>
        <w:tc>
          <w:tcPr>
            <w:tcW w:w="12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107,532</w:t>
            </w:r>
          </w:p>
        </w:tc>
      </w:tr>
      <w:tr>
        <w:trPr>
          <w:trHeight w:val="156"/>
        </w:trPr>
        <w:tc>
          <w:tcPr>
            <w:tcW w:w="48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Total current assets</w:t>
            </w:r>
          </w:p>
        </w:tc>
        <w:tc>
          <w:tcPr>
            <w:tcW w:w="2240" w:type="dxa"/>
            <w:vAlign w:val="bottom"/>
          </w:tcPr>
          <w:p>
            <w:pPr>
              <w:jc w:val="right"/>
              <w:ind w:right="65"/>
              <w:spacing w:after="0" w:line="156" w:lineRule="exact"/>
              <w:rPr>
                <w:sz w:val="20"/>
                <w:szCs w:val="20"/>
                <w:color w:val="auto"/>
              </w:rPr>
            </w:pPr>
            <w:r>
              <w:rPr>
                <w:rFonts w:ascii="Times New Roman" w:cs="Times New Roman" w:eastAsia="Times New Roman" w:hAnsi="Times New Roman"/>
                <w:sz w:val="15"/>
                <w:szCs w:val="15"/>
                <w:color w:val="auto"/>
              </w:rPr>
              <w:t>4,526,719</w:t>
            </w:r>
          </w:p>
        </w:tc>
        <w:tc>
          <w:tcPr>
            <w:tcW w:w="2060" w:type="dxa"/>
            <w:vAlign w:val="bottom"/>
            <w:gridSpan w:val="2"/>
          </w:tcPr>
          <w:p>
            <w:pPr>
              <w:jc w:val="right"/>
              <w:ind w:right="47"/>
              <w:spacing w:after="0" w:line="156" w:lineRule="exact"/>
              <w:rPr>
                <w:sz w:val="20"/>
                <w:szCs w:val="20"/>
                <w:color w:val="auto"/>
              </w:rPr>
            </w:pPr>
            <w:r>
              <w:rPr>
                <w:rFonts w:ascii="Times New Roman" w:cs="Times New Roman" w:eastAsia="Times New Roman" w:hAnsi="Times New Roman"/>
                <w:sz w:val="15"/>
                <w:szCs w:val="15"/>
                <w:color w:val="auto"/>
              </w:rPr>
              <w:t>4,001,922</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20" w:type="dxa"/>
            <w:vAlign w:val="bottom"/>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570,270</w:t>
            </w:r>
          </w:p>
        </w:tc>
      </w:tr>
      <w:tr>
        <w:trPr>
          <w:trHeight w:val="155"/>
        </w:trPr>
        <w:tc>
          <w:tcPr>
            <w:tcW w:w="48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Non-current assets:</w:t>
            </w:r>
          </w:p>
        </w:tc>
        <w:tc>
          <w:tcPr>
            <w:tcW w:w="224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92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r>
      <w:tr>
        <w:trPr>
          <w:trHeight w:val="162"/>
        </w:trPr>
        <w:tc>
          <w:tcPr>
            <w:tcW w:w="488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Long-term investments</w:t>
            </w:r>
          </w:p>
        </w:tc>
        <w:tc>
          <w:tcPr>
            <w:tcW w:w="224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467,095</w:t>
            </w:r>
          </w:p>
        </w:tc>
        <w:tc>
          <w:tcPr>
            <w:tcW w:w="2060" w:type="dxa"/>
            <w:vAlign w:val="bottom"/>
            <w:gridSpan w:val="2"/>
          </w:tcPr>
          <w:p>
            <w:pPr>
              <w:jc w:val="right"/>
              <w:ind w:right="47"/>
              <w:spacing w:after="0" w:line="162" w:lineRule="exact"/>
              <w:rPr>
                <w:sz w:val="20"/>
                <w:szCs w:val="20"/>
                <w:color w:val="auto"/>
              </w:rPr>
            </w:pPr>
            <w:r>
              <w:rPr>
                <w:rFonts w:ascii="Times New Roman" w:cs="Times New Roman" w:eastAsia="Times New Roman" w:hAnsi="Times New Roman"/>
                <w:sz w:val="15"/>
                <w:szCs w:val="15"/>
                <w:color w:val="auto"/>
              </w:rPr>
              <w:t>558,221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79,546</w:t>
            </w:r>
          </w:p>
        </w:tc>
      </w:tr>
      <w:tr>
        <w:trPr>
          <w:trHeight w:val="162"/>
        </w:trPr>
        <w:tc>
          <w:tcPr>
            <w:tcW w:w="488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Property and equipment, net</w:t>
            </w:r>
          </w:p>
        </w:tc>
        <w:tc>
          <w:tcPr>
            <w:tcW w:w="224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148,223</w:t>
            </w:r>
          </w:p>
        </w:tc>
        <w:tc>
          <w:tcPr>
            <w:tcW w:w="2060" w:type="dxa"/>
            <w:vAlign w:val="bottom"/>
            <w:gridSpan w:val="2"/>
            <w:shd w:val="clear" w:color="auto" w:fill="CFF0FC"/>
          </w:tcPr>
          <w:p>
            <w:pPr>
              <w:jc w:val="right"/>
              <w:ind w:right="47"/>
              <w:spacing w:after="0" w:line="162" w:lineRule="exact"/>
              <w:rPr>
                <w:sz w:val="20"/>
                <w:szCs w:val="20"/>
                <w:color w:val="auto"/>
              </w:rPr>
            </w:pPr>
            <w:r>
              <w:rPr>
                <w:rFonts w:ascii="Times New Roman" w:cs="Times New Roman" w:eastAsia="Times New Roman" w:hAnsi="Times New Roman"/>
                <w:sz w:val="15"/>
                <w:szCs w:val="15"/>
                <w:color w:val="auto"/>
              </w:rPr>
              <w:t>159,236</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22,691</w:t>
            </w:r>
          </w:p>
        </w:tc>
      </w:tr>
      <w:tr>
        <w:trPr>
          <w:trHeight w:val="162"/>
        </w:trPr>
        <w:tc>
          <w:tcPr>
            <w:tcW w:w="488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Intangible assets, net</w:t>
            </w:r>
          </w:p>
        </w:tc>
        <w:tc>
          <w:tcPr>
            <w:tcW w:w="224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270,631</w:t>
            </w:r>
          </w:p>
        </w:tc>
        <w:tc>
          <w:tcPr>
            <w:tcW w:w="2060" w:type="dxa"/>
            <w:vAlign w:val="bottom"/>
            <w:gridSpan w:val="2"/>
          </w:tcPr>
          <w:p>
            <w:pPr>
              <w:jc w:val="right"/>
              <w:ind w:right="47"/>
              <w:spacing w:after="0" w:line="162" w:lineRule="exact"/>
              <w:rPr>
                <w:sz w:val="20"/>
                <w:szCs w:val="20"/>
                <w:color w:val="auto"/>
              </w:rPr>
            </w:pPr>
            <w:r>
              <w:rPr>
                <w:rFonts w:ascii="Times New Roman" w:cs="Times New Roman" w:eastAsia="Times New Roman" w:hAnsi="Times New Roman"/>
                <w:sz w:val="15"/>
                <w:szCs w:val="15"/>
                <w:color w:val="auto"/>
              </w:rPr>
              <w:t>100,496</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14,321</w:t>
            </w:r>
          </w:p>
        </w:tc>
      </w:tr>
      <w:tr>
        <w:trPr>
          <w:trHeight w:val="162"/>
        </w:trPr>
        <w:tc>
          <w:tcPr>
            <w:tcW w:w="4880" w:type="dxa"/>
            <w:vAlign w:val="bottom"/>
            <w:tcBorders>
              <w:bottom w:val="single" w:sz="8" w:color="CFF0FC"/>
            </w:tcBorders>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Other non-current assets</w:t>
            </w:r>
          </w:p>
        </w:tc>
        <w:tc>
          <w:tcPr>
            <w:tcW w:w="2240" w:type="dxa"/>
            <w:vAlign w:val="bottom"/>
            <w:tcBorders>
              <w:bottom w:val="single" w:sz="8" w:color="auto"/>
            </w:tcBorders>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80,411</w:t>
            </w:r>
          </w:p>
        </w:tc>
        <w:tc>
          <w:tcPr>
            <w:tcW w:w="140" w:type="dxa"/>
            <w:vAlign w:val="bottom"/>
            <w:tcBorders>
              <w:bottom w:val="single" w:sz="8" w:color="CFF0FC"/>
            </w:tcBorders>
            <w:shd w:val="clear" w:color="auto" w:fill="CFF0FC"/>
          </w:tcPr>
          <w:p>
            <w:pPr>
              <w:spacing w:after="0"/>
              <w:rPr>
                <w:sz w:val="14"/>
                <w:szCs w:val="14"/>
                <w:color w:val="auto"/>
              </w:rPr>
            </w:pPr>
          </w:p>
        </w:tc>
        <w:tc>
          <w:tcPr>
            <w:tcW w:w="1920" w:type="dxa"/>
            <w:vAlign w:val="bottom"/>
            <w:tcBorders>
              <w:bottom w:val="single" w:sz="8" w:color="auto"/>
            </w:tcBorders>
            <w:shd w:val="clear" w:color="auto" w:fill="CFF0FC"/>
          </w:tcPr>
          <w:p>
            <w:pPr>
              <w:jc w:val="right"/>
              <w:ind w:right="47"/>
              <w:spacing w:after="0" w:line="162" w:lineRule="exact"/>
              <w:rPr>
                <w:sz w:val="20"/>
                <w:szCs w:val="20"/>
                <w:color w:val="auto"/>
              </w:rPr>
            </w:pPr>
            <w:r>
              <w:rPr>
                <w:rFonts w:ascii="Times New Roman" w:cs="Times New Roman" w:eastAsia="Times New Roman" w:hAnsi="Times New Roman"/>
                <w:sz w:val="15"/>
                <w:szCs w:val="15"/>
                <w:color w:val="auto"/>
              </w:rPr>
              <w:t>149,115</w:t>
            </w:r>
          </w:p>
        </w:tc>
        <w:tc>
          <w:tcPr>
            <w:tcW w:w="12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21,249</w:t>
            </w:r>
          </w:p>
        </w:tc>
      </w:tr>
      <w:tr>
        <w:trPr>
          <w:trHeight w:val="155"/>
        </w:trPr>
        <w:tc>
          <w:tcPr>
            <w:tcW w:w="48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Total non-current assets</w:t>
            </w:r>
          </w:p>
        </w:tc>
        <w:tc>
          <w:tcPr>
            <w:tcW w:w="2240" w:type="dxa"/>
            <w:vAlign w:val="bottom"/>
            <w:tcBorders>
              <w:bottom w:val="single" w:sz="8" w:color="auto"/>
            </w:tcBorders>
          </w:tcPr>
          <w:p>
            <w:pPr>
              <w:jc w:val="right"/>
              <w:ind w:right="65"/>
              <w:spacing w:after="0" w:line="156" w:lineRule="exact"/>
              <w:rPr>
                <w:sz w:val="20"/>
                <w:szCs w:val="20"/>
                <w:color w:val="auto"/>
              </w:rPr>
            </w:pPr>
            <w:r>
              <w:rPr>
                <w:rFonts w:ascii="Times New Roman" w:cs="Times New Roman" w:eastAsia="Times New Roman" w:hAnsi="Times New Roman"/>
                <w:sz w:val="15"/>
                <w:szCs w:val="15"/>
                <w:color w:val="auto"/>
              </w:rPr>
              <w:t>966,360</w:t>
            </w:r>
          </w:p>
        </w:tc>
        <w:tc>
          <w:tcPr>
            <w:tcW w:w="140" w:type="dxa"/>
            <w:vAlign w:val="bottom"/>
          </w:tcPr>
          <w:p>
            <w:pPr>
              <w:spacing w:after="0"/>
              <w:rPr>
                <w:sz w:val="13"/>
                <w:szCs w:val="13"/>
                <w:color w:val="auto"/>
              </w:rPr>
            </w:pPr>
          </w:p>
        </w:tc>
        <w:tc>
          <w:tcPr>
            <w:tcW w:w="1920" w:type="dxa"/>
            <w:vAlign w:val="bottom"/>
            <w:tcBorders>
              <w:bottom w:val="single" w:sz="8" w:color="auto"/>
            </w:tcBorders>
          </w:tcPr>
          <w:p>
            <w:pPr>
              <w:jc w:val="right"/>
              <w:ind w:right="47"/>
              <w:spacing w:after="0" w:line="156" w:lineRule="exact"/>
              <w:rPr>
                <w:sz w:val="20"/>
                <w:szCs w:val="20"/>
                <w:color w:val="auto"/>
              </w:rPr>
            </w:pPr>
            <w:r>
              <w:rPr>
                <w:rFonts w:ascii="Times New Roman" w:cs="Times New Roman" w:eastAsia="Times New Roman" w:hAnsi="Times New Roman"/>
                <w:sz w:val="15"/>
                <w:szCs w:val="15"/>
                <w:color w:val="auto"/>
              </w:rPr>
              <w:t>967,068</w:t>
            </w:r>
          </w:p>
        </w:tc>
        <w:tc>
          <w:tcPr>
            <w:tcW w:w="1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137,807</w:t>
            </w:r>
          </w:p>
        </w:tc>
      </w:tr>
      <w:tr>
        <w:trPr>
          <w:trHeight w:val="196"/>
        </w:trPr>
        <w:tc>
          <w:tcPr>
            <w:tcW w:w="48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TOTAL ASSETS</w:t>
            </w:r>
          </w:p>
        </w:tc>
        <w:tc>
          <w:tcPr>
            <w:tcW w:w="2240" w:type="dxa"/>
            <w:vAlign w:val="bottom"/>
            <w:shd w:val="clear" w:color="auto" w:fill="CFF0FC"/>
          </w:tcPr>
          <w:p>
            <w:pPr>
              <w:jc w:val="right"/>
              <w:ind w:right="65"/>
              <w:spacing w:after="0" w:line="156" w:lineRule="exact"/>
              <w:rPr>
                <w:sz w:val="20"/>
                <w:szCs w:val="20"/>
                <w:color w:val="auto"/>
              </w:rPr>
            </w:pPr>
            <w:r>
              <w:rPr>
                <w:rFonts w:ascii="Times New Roman" w:cs="Times New Roman" w:eastAsia="Times New Roman" w:hAnsi="Times New Roman"/>
                <w:sz w:val="15"/>
                <w:szCs w:val="15"/>
                <w:color w:val="auto"/>
              </w:rPr>
              <w:t>5,493,079</w:t>
            </w:r>
          </w:p>
        </w:tc>
        <w:tc>
          <w:tcPr>
            <w:tcW w:w="2060" w:type="dxa"/>
            <w:vAlign w:val="bottom"/>
            <w:gridSpan w:val="2"/>
            <w:shd w:val="clear" w:color="auto" w:fill="CFF0FC"/>
          </w:tcPr>
          <w:p>
            <w:pPr>
              <w:jc w:val="right"/>
              <w:ind w:right="47"/>
              <w:spacing w:after="0" w:line="156" w:lineRule="exact"/>
              <w:rPr>
                <w:sz w:val="20"/>
                <w:szCs w:val="20"/>
                <w:color w:val="auto"/>
              </w:rPr>
            </w:pPr>
            <w:r>
              <w:rPr>
                <w:rFonts w:ascii="Times New Roman" w:cs="Times New Roman" w:eastAsia="Times New Roman" w:hAnsi="Times New Roman"/>
                <w:sz w:val="15"/>
                <w:szCs w:val="15"/>
                <w:color w:val="auto"/>
              </w:rPr>
              <w:t>4,968,990</w:t>
            </w: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708,077</w:t>
            </w:r>
          </w:p>
        </w:tc>
      </w:tr>
      <w:tr>
        <w:trPr>
          <w:trHeight w:val="143"/>
        </w:trPr>
        <w:tc>
          <w:tcPr>
            <w:tcW w:w="4880" w:type="dxa"/>
            <w:vAlign w:val="bottom"/>
            <w:tcBorders>
              <w:top w:val="single" w:sz="8" w:color="CFF0FC"/>
            </w:tcBorders>
          </w:tcPr>
          <w:p>
            <w:pPr>
              <w:ind w:left="20"/>
              <w:spacing w:after="0" w:line="143" w:lineRule="exact"/>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224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r>
      <w:tr>
        <w:trPr>
          <w:trHeight w:val="162"/>
        </w:trPr>
        <w:tc>
          <w:tcPr>
            <w:tcW w:w="488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Current liabilities:</w:t>
            </w:r>
          </w:p>
        </w:tc>
        <w:tc>
          <w:tcPr>
            <w:tcW w:w="2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r>
      <w:tr>
        <w:trPr>
          <w:trHeight w:val="162"/>
        </w:trPr>
        <w:tc>
          <w:tcPr>
            <w:tcW w:w="488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Short-term borrowings</w:t>
            </w:r>
          </w:p>
        </w:tc>
        <w:tc>
          <w:tcPr>
            <w:tcW w:w="224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349,931</w:t>
            </w:r>
          </w:p>
        </w:tc>
        <w:tc>
          <w:tcPr>
            <w:tcW w:w="2060" w:type="dxa"/>
            <w:vAlign w:val="bottom"/>
            <w:gridSpan w:val="2"/>
          </w:tcPr>
          <w:p>
            <w:pPr>
              <w:jc w:val="right"/>
              <w:ind w:right="47"/>
              <w:spacing w:after="0" w:line="162" w:lineRule="exact"/>
              <w:rPr>
                <w:sz w:val="20"/>
                <w:szCs w:val="20"/>
                <w:color w:val="auto"/>
              </w:rPr>
            </w:pPr>
            <w:r>
              <w:rPr>
                <w:rFonts w:ascii="Times New Roman" w:cs="Times New Roman" w:eastAsia="Times New Roman" w:hAnsi="Times New Roman"/>
                <w:sz w:val="15"/>
                <w:szCs w:val="15"/>
                <w:color w:val="auto"/>
              </w:rPr>
              <w:t>307,291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43,789</w:t>
            </w:r>
          </w:p>
        </w:tc>
      </w:tr>
      <w:tr>
        <w:trPr>
          <w:trHeight w:val="162"/>
        </w:trPr>
        <w:tc>
          <w:tcPr>
            <w:tcW w:w="488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224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532,293</w:t>
            </w:r>
          </w:p>
        </w:tc>
        <w:tc>
          <w:tcPr>
            <w:tcW w:w="2060" w:type="dxa"/>
            <w:vAlign w:val="bottom"/>
            <w:gridSpan w:val="2"/>
            <w:shd w:val="clear" w:color="auto" w:fill="CFF0FC"/>
          </w:tcPr>
          <w:p>
            <w:pPr>
              <w:jc w:val="right"/>
              <w:ind w:right="47"/>
              <w:spacing w:after="0" w:line="162" w:lineRule="exact"/>
              <w:rPr>
                <w:sz w:val="20"/>
                <w:szCs w:val="20"/>
                <w:color w:val="auto"/>
              </w:rPr>
            </w:pPr>
            <w:r>
              <w:rPr>
                <w:rFonts w:ascii="Times New Roman" w:cs="Times New Roman" w:eastAsia="Times New Roman" w:hAnsi="Times New Roman"/>
                <w:sz w:val="15"/>
                <w:szCs w:val="15"/>
                <w:color w:val="auto"/>
              </w:rPr>
              <w:t>105,314</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15,007</w:t>
            </w:r>
          </w:p>
        </w:tc>
      </w:tr>
      <w:tr>
        <w:trPr>
          <w:trHeight w:val="162"/>
        </w:trPr>
        <w:tc>
          <w:tcPr>
            <w:tcW w:w="488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Contract liabilities</w:t>
            </w:r>
          </w:p>
        </w:tc>
        <w:tc>
          <w:tcPr>
            <w:tcW w:w="224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119,715</w:t>
            </w:r>
          </w:p>
        </w:tc>
        <w:tc>
          <w:tcPr>
            <w:tcW w:w="2060" w:type="dxa"/>
            <w:vAlign w:val="bottom"/>
            <w:gridSpan w:val="2"/>
          </w:tcPr>
          <w:p>
            <w:pPr>
              <w:jc w:val="right"/>
              <w:ind w:right="47"/>
              <w:spacing w:after="0" w:line="162" w:lineRule="exact"/>
              <w:rPr>
                <w:sz w:val="20"/>
                <w:szCs w:val="20"/>
                <w:color w:val="auto"/>
              </w:rPr>
            </w:pPr>
            <w:r>
              <w:rPr>
                <w:rFonts w:ascii="Times New Roman" w:cs="Times New Roman" w:eastAsia="Times New Roman" w:hAnsi="Times New Roman"/>
                <w:sz w:val="15"/>
                <w:szCs w:val="15"/>
                <w:color w:val="auto"/>
              </w:rPr>
              <w:t>81,571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11,624</w:t>
            </w:r>
          </w:p>
        </w:tc>
      </w:tr>
      <w:tr>
        <w:trPr>
          <w:trHeight w:val="162"/>
        </w:trPr>
        <w:tc>
          <w:tcPr>
            <w:tcW w:w="488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224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465,123</w:t>
            </w:r>
          </w:p>
        </w:tc>
        <w:tc>
          <w:tcPr>
            <w:tcW w:w="2060" w:type="dxa"/>
            <w:vAlign w:val="bottom"/>
            <w:gridSpan w:val="2"/>
            <w:shd w:val="clear" w:color="auto" w:fill="CFF0FC"/>
          </w:tcPr>
          <w:p>
            <w:pPr>
              <w:jc w:val="right"/>
              <w:ind w:right="47"/>
              <w:spacing w:after="0" w:line="162" w:lineRule="exact"/>
              <w:rPr>
                <w:sz w:val="20"/>
                <w:szCs w:val="20"/>
                <w:color w:val="auto"/>
              </w:rPr>
            </w:pPr>
            <w:r>
              <w:rPr>
                <w:rFonts w:ascii="Times New Roman" w:cs="Times New Roman" w:eastAsia="Times New Roman" w:hAnsi="Times New Roman"/>
                <w:sz w:val="15"/>
                <w:szCs w:val="15"/>
                <w:color w:val="auto"/>
              </w:rPr>
              <w:t>478,145</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68,135</w:t>
            </w:r>
          </w:p>
        </w:tc>
      </w:tr>
      <w:tr>
        <w:trPr>
          <w:trHeight w:val="162"/>
        </w:trPr>
        <w:tc>
          <w:tcPr>
            <w:tcW w:w="488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Accrued payroll and welfare</w:t>
            </w:r>
          </w:p>
        </w:tc>
        <w:tc>
          <w:tcPr>
            <w:tcW w:w="224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146,371</w:t>
            </w:r>
          </w:p>
        </w:tc>
        <w:tc>
          <w:tcPr>
            <w:tcW w:w="2060" w:type="dxa"/>
            <w:vAlign w:val="bottom"/>
            <w:gridSpan w:val="2"/>
          </w:tcPr>
          <w:p>
            <w:pPr>
              <w:jc w:val="right"/>
              <w:ind w:right="47"/>
              <w:spacing w:after="0" w:line="162" w:lineRule="exact"/>
              <w:rPr>
                <w:sz w:val="20"/>
                <w:szCs w:val="20"/>
                <w:color w:val="auto"/>
              </w:rPr>
            </w:pPr>
            <w:r>
              <w:rPr>
                <w:rFonts w:ascii="Times New Roman" w:cs="Times New Roman" w:eastAsia="Times New Roman" w:hAnsi="Times New Roman"/>
                <w:sz w:val="15"/>
                <w:szCs w:val="15"/>
                <w:color w:val="auto"/>
              </w:rPr>
              <w:t>148,945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21,224</w:t>
            </w:r>
          </w:p>
        </w:tc>
      </w:tr>
      <w:tr>
        <w:trPr>
          <w:trHeight w:val="162"/>
        </w:trPr>
        <w:tc>
          <w:tcPr>
            <w:tcW w:w="4880" w:type="dxa"/>
            <w:vAlign w:val="bottom"/>
            <w:tcBorders>
              <w:bottom w:val="single" w:sz="8" w:color="CFF0FC"/>
            </w:tcBorders>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Amount due to related parties</w:t>
            </w:r>
          </w:p>
        </w:tc>
        <w:tc>
          <w:tcPr>
            <w:tcW w:w="2240" w:type="dxa"/>
            <w:vAlign w:val="bottom"/>
            <w:tcBorders>
              <w:bottom w:val="single" w:sz="8" w:color="auto"/>
            </w:tcBorders>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78,032</w:t>
            </w:r>
          </w:p>
        </w:tc>
        <w:tc>
          <w:tcPr>
            <w:tcW w:w="140" w:type="dxa"/>
            <w:vAlign w:val="bottom"/>
            <w:tcBorders>
              <w:bottom w:val="single" w:sz="8" w:color="CFF0FC"/>
            </w:tcBorders>
            <w:shd w:val="clear" w:color="auto" w:fill="CFF0FC"/>
          </w:tcPr>
          <w:p>
            <w:pPr>
              <w:spacing w:after="0"/>
              <w:rPr>
                <w:sz w:val="14"/>
                <w:szCs w:val="14"/>
                <w:color w:val="auto"/>
              </w:rPr>
            </w:pPr>
          </w:p>
        </w:tc>
        <w:tc>
          <w:tcPr>
            <w:tcW w:w="1920" w:type="dxa"/>
            <w:vAlign w:val="bottom"/>
            <w:tcBorders>
              <w:bottom w:val="single" w:sz="8" w:color="auto"/>
            </w:tcBorders>
            <w:shd w:val="clear" w:color="auto" w:fill="CFF0FC"/>
          </w:tcPr>
          <w:p>
            <w:pPr>
              <w:jc w:val="right"/>
              <w:ind w:right="47"/>
              <w:spacing w:after="0" w:line="162" w:lineRule="exact"/>
              <w:rPr>
                <w:sz w:val="20"/>
                <w:szCs w:val="20"/>
                <w:color w:val="auto"/>
              </w:rPr>
            </w:pPr>
            <w:r>
              <w:rPr>
                <w:rFonts w:ascii="Times New Roman" w:cs="Times New Roman" w:eastAsia="Times New Roman" w:hAnsi="Times New Roman"/>
                <w:sz w:val="15"/>
                <w:szCs w:val="15"/>
                <w:color w:val="auto"/>
              </w:rPr>
              <w:t>116,255</w:t>
            </w:r>
          </w:p>
        </w:tc>
        <w:tc>
          <w:tcPr>
            <w:tcW w:w="12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16,566</w:t>
            </w:r>
          </w:p>
        </w:tc>
      </w:tr>
      <w:tr>
        <w:trPr>
          <w:trHeight w:val="156"/>
        </w:trPr>
        <w:tc>
          <w:tcPr>
            <w:tcW w:w="48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2240" w:type="dxa"/>
            <w:vAlign w:val="bottom"/>
          </w:tcPr>
          <w:p>
            <w:pPr>
              <w:jc w:val="right"/>
              <w:ind w:right="65"/>
              <w:spacing w:after="0" w:line="156" w:lineRule="exact"/>
              <w:rPr>
                <w:sz w:val="20"/>
                <w:szCs w:val="20"/>
                <w:color w:val="auto"/>
              </w:rPr>
            </w:pPr>
            <w:r>
              <w:rPr>
                <w:rFonts w:ascii="Times New Roman" w:cs="Times New Roman" w:eastAsia="Times New Roman" w:hAnsi="Times New Roman"/>
                <w:sz w:val="15"/>
                <w:szCs w:val="15"/>
                <w:color w:val="auto"/>
              </w:rPr>
              <w:t>1,691,465</w:t>
            </w:r>
          </w:p>
        </w:tc>
        <w:tc>
          <w:tcPr>
            <w:tcW w:w="2060" w:type="dxa"/>
            <w:vAlign w:val="bottom"/>
            <w:gridSpan w:val="2"/>
          </w:tcPr>
          <w:p>
            <w:pPr>
              <w:jc w:val="right"/>
              <w:ind w:right="47"/>
              <w:spacing w:after="0" w:line="156" w:lineRule="exact"/>
              <w:rPr>
                <w:sz w:val="20"/>
                <w:szCs w:val="20"/>
                <w:color w:val="auto"/>
              </w:rPr>
            </w:pPr>
            <w:r>
              <w:rPr>
                <w:rFonts w:ascii="Times New Roman" w:cs="Times New Roman" w:eastAsia="Times New Roman" w:hAnsi="Times New Roman"/>
                <w:sz w:val="15"/>
                <w:szCs w:val="15"/>
                <w:color w:val="auto"/>
              </w:rPr>
              <w:t>1,237,521</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20" w:type="dxa"/>
            <w:vAlign w:val="bottom"/>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176,345</w:t>
            </w:r>
          </w:p>
        </w:tc>
      </w:tr>
      <w:tr>
        <w:trPr>
          <w:trHeight w:val="155"/>
        </w:trPr>
        <w:tc>
          <w:tcPr>
            <w:tcW w:w="48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Non-current liabilities:</w:t>
            </w:r>
          </w:p>
        </w:tc>
        <w:tc>
          <w:tcPr>
            <w:tcW w:w="224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92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r>
      <w:tr>
        <w:trPr>
          <w:trHeight w:val="162"/>
        </w:trPr>
        <w:tc>
          <w:tcPr>
            <w:tcW w:w="488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Operating lease liabilities, non-current</w:t>
            </w:r>
          </w:p>
        </w:tc>
        <w:tc>
          <w:tcPr>
            <w:tcW w:w="224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22,495</w:t>
            </w:r>
          </w:p>
        </w:tc>
        <w:tc>
          <w:tcPr>
            <w:tcW w:w="2060" w:type="dxa"/>
            <w:vAlign w:val="bottom"/>
            <w:gridSpan w:val="2"/>
          </w:tcPr>
          <w:p>
            <w:pPr>
              <w:jc w:val="right"/>
              <w:ind w:right="47"/>
              <w:spacing w:after="0" w:line="162" w:lineRule="exact"/>
              <w:rPr>
                <w:sz w:val="20"/>
                <w:szCs w:val="20"/>
                <w:color w:val="auto"/>
              </w:rPr>
            </w:pPr>
            <w:r>
              <w:rPr>
                <w:rFonts w:ascii="Times New Roman" w:cs="Times New Roman" w:eastAsia="Times New Roman" w:hAnsi="Times New Roman"/>
                <w:sz w:val="15"/>
                <w:szCs w:val="15"/>
                <w:color w:val="auto"/>
              </w:rPr>
              <w:t>80,366</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11,452</w:t>
            </w:r>
          </w:p>
        </w:tc>
      </w:tr>
      <w:tr>
        <w:trPr>
          <w:trHeight w:val="162"/>
        </w:trPr>
        <w:tc>
          <w:tcPr>
            <w:tcW w:w="4880" w:type="dxa"/>
            <w:vAlign w:val="bottom"/>
            <w:tcBorders>
              <w:bottom w:val="single" w:sz="8" w:color="CFF0FC"/>
            </w:tcBorders>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Deferred tax liabilities</w:t>
            </w:r>
          </w:p>
        </w:tc>
        <w:tc>
          <w:tcPr>
            <w:tcW w:w="2240" w:type="dxa"/>
            <w:vAlign w:val="bottom"/>
            <w:tcBorders>
              <w:bottom w:val="single" w:sz="8" w:color="auto"/>
            </w:tcBorders>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67,658</w:t>
            </w:r>
          </w:p>
        </w:tc>
        <w:tc>
          <w:tcPr>
            <w:tcW w:w="140" w:type="dxa"/>
            <w:vAlign w:val="bottom"/>
            <w:tcBorders>
              <w:bottom w:val="single" w:sz="8" w:color="CFF0FC"/>
            </w:tcBorders>
            <w:shd w:val="clear" w:color="auto" w:fill="CFF0FC"/>
          </w:tcPr>
          <w:p>
            <w:pPr>
              <w:spacing w:after="0"/>
              <w:rPr>
                <w:sz w:val="14"/>
                <w:szCs w:val="14"/>
                <w:color w:val="auto"/>
              </w:rPr>
            </w:pPr>
          </w:p>
        </w:tc>
        <w:tc>
          <w:tcPr>
            <w:tcW w:w="1920" w:type="dxa"/>
            <w:vAlign w:val="bottom"/>
            <w:tcBorders>
              <w:bottom w:val="single" w:sz="8" w:color="auto"/>
            </w:tcBorders>
            <w:shd w:val="clear" w:color="auto" w:fill="CFF0FC"/>
          </w:tcPr>
          <w:p>
            <w:pPr>
              <w:jc w:val="right"/>
              <w:ind w:right="47"/>
              <w:spacing w:after="0" w:line="162" w:lineRule="exact"/>
              <w:rPr>
                <w:sz w:val="20"/>
                <w:szCs w:val="20"/>
                <w:color w:val="auto"/>
              </w:rPr>
            </w:pPr>
            <w:r>
              <w:rPr>
                <w:rFonts w:ascii="Times New Roman" w:cs="Times New Roman" w:eastAsia="Times New Roman" w:hAnsi="Times New Roman"/>
                <w:sz w:val="15"/>
                <w:szCs w:val="15"/>
                <w:color w:val="auto"/>
              </w:rPr>
              <w:t>42,099</w:t>
            </w:r>
          </w:p>
        </w:tc>
        <w:tc>
          <w:tcPr>
            <w:tcW w:w="12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5,999</w:t>
            </w:r>
          </w:p>
        </w:tc>
      </w:tr>
      <w:tr>
        <w:trPr>
          <w:trHeight w:val="156"/>
        </w:trPr>
        <w:tc>
          <w:tcPr>
            <w:tcW w:w="48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Total non-current liabilities</w:t>
            </w:r>
          </w:p>
        </w:tc>
        <w:tc>
          <w:tcPr>
            <w:tcW w:w="2240" w:type="dxa"/>
            <w:vAlign w:val="bottom"/>
            <w:tcBorders>
              <w:bottom w:val="single" w:sz="8" w:color="auto"/>
            </w:tcBorders>
          </w:tcPr>
          <w:p>
            <w:pPr>
              <w:jc w:val="right"/>
              <w:ind w:right="65"/>
              <w:spacing w:after="0" w:line="156" w:lineRule="exact"/>
              <w:rPr>
                <w:sz w:val="20"/>
                <w:szCs w:val="20"/>
                <w:color w:val="auto"/>
              </w:rPr>
            </w:pPr>
            <w:r>
              <w:rPr>
                <w:rFonts w:ascii="Times New Roman" w:cs="Times New Roman" w:eastAsia="Times New Roman" w:hAnsi="Times New Roman"/>
                <w:sz w:val="15"/>
                <w:szCs w:val="15"/>
                <w:color w:val="auto"/>
              </w:rPr>
              <w:t>90,153</w:t>
            </w:r>
          </w:p>
        </w:tc>
        <w:tc>
          <w:tcPr>
            <w:tcW w:w="140" w:type="dxa"/>
            <w:vAlign w:val="bottom"/>
          </w:tcPr>
          <w:p>
            <w:pPr>
              <w:spacing w:after="0"/>
              <w:rPr>
                <w:sz w:val="13"/>
                <w:szCs w:val="13"/>
                <w:color w:val="auto"/>
              </w:rPr>
            </w:pPr>
          </w:p>
        </w:tc>
        <w:tc>
          <w:tcPr>
            <w:tcW w:w="1920" w:type="dxa"/>
            <w:vAlign w:val="bottom"/>
            <w:tcBorders>
              <w:bottom w:val="single" w:sz="8" w:color="auto"/>
            </w:tcBorders>
          </w:tcPr>
          <w:p>
            <w:pPr>
              <w:jc w:val="right"/>
              <w:ind w:right="47"/>
              <w:spacing w:after="0" w:line="156" w:lineRule="exact"/>
              <w:rPr>
                <w:sz w:val="20"/>
                <w:szCs w:val="20"/>
                <w:color w:val="auto"/>
              </w:rPr>
            </w:pPr>
            <w:r>
              <w:rPr>
                <w:rFonts w:ascii="Times New Roman" w:cs="Times New Roman" w:eastAsia="Times New Roman" w:hAnsi="Times New Roman"/>
                <w:sz w:val="15"/>
                <w:szCs w:val="15"/>
                <w:color w:val="auto"/>
              </w:rPr>
              <w:t>122,465</w:t>
            </w:r>
          </w:p>
        </w:tc>
        <w:tc>
          <w:tcPr>
            <w:tcW w:w="1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17,451</w:t>
            </w:r>
          </w:p>
        </w:tc>
      </w:tr>
      <w:tr>
        <w:trPr>
          <w:trHeight w:val="155"/>
        </w:trPr>
        <w:tc>
          <w:tcPr>
            <w:tcW w:w="488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TOTAL LIABILITIES</w:t>
            </w:r>
          </w:p>
        </w:tc>
        <w:tc>
          <w:tcPr>
            <w:tcW w:w="2240" w:type="dxa"/>
            <w:vAlign w:val="bottom"/>
            <w:tcBorders>
              <w:bottom w:val="single" w:sz="8" w:color="auto"/>
            </w:tcBorders>
            <w:shd w:val="clear" w:color="auto" w:fill="CFF0FC"/>
          </w:tcPr>
          <w:p>
            <w:pPr>
              <w:jc w:val="right"/>
              <w:ind w:right="65"/>
              <w:spacing w:after="0" w:line="156" w:lineRule="exact"/>
              <w:rPr>
                <w:sz w:val="20"/>
                <w:szCs w:val="20"/>
                <w:color w:val="auto"/>
              </w:rPr>
            </w:pPr>
            <w:r>
              <w:rPr>
                <w:rFonts w:ascii="Times New Roman" w:cs="Times New Roman" w:eastAsia="Times New Roman" w:hAnsi="Times New Roman"/>
                <w:sz w:val="15"/>
                <w:szCs w:val="15"/>
                <w:color w:val="auto"/>
              </w:rPr>
              <w:t>1,781,618</w:t>
            </w:r>
          </w:p>
        </w:tc>
        <w:tc>
          <w:tcPr>
            <w:tcW w:w="140" w:type="dxa"/>
            <w:vAlign w:val="bottom"/>
            <w:tcBorders>
              <w:bottom w:val="single" w:sz="8" w:color="CFF0FC"/>
            </w:tcBorders>
            <w:shd w:val="clear" w:color="auto" w:fill="CFF0FC"/>
          </w:tcPr>
          <w:p>
            <w:pPr>
              <w:spacing w:after="0"/>
              <w:rPr>
                <w:sz w:val="13"/>
                <w:szCs w:val="13"/>
                <w:color w:val="auto"/>
              </w:rPr>
            </w:pPr>
          </w:p>
        </w:tc>
        <w:tc>
          <w:tcPr>
            <w:tcW w:w="1920" w:type="dxa"/>
            <w:vAlign w:val="bottom"/>
            <w:tcBorders>
              <w:bottom w:val="single" w:sz="8" w:color="auto"/>
            </w:tcBorders>
            <w:shd w:val="clear" w:color="auto" w:fill="CFF0FC"/>
          </w:tcPr>
          <w:p>
            <w:pPr>
              <w:jc w:val="right"/>
              <w:ind w:right="47"/>
              <w:spacing w:after="0" w:line="156" w:lineRule="exact"/>
              <w:rPr>
                <w:sz w:val="20"/>
                <w:szCs w:val="20"/>
                <w:color w:val="auto"/>
              </w:rPr>
            </w:pPr>
            <w:r>
              <w:rPr>
                <w:rFonts w:ascii="Times New Roman" w:cs="Times New Roman" w:eastAsia="Times New Roman" w:hAnsi="Times New Roman"/>
                <w:sz w:val="15"/>
                <w:szCs w:val="15"/>
                <w:color w:val="auto"/>
              </w:rPr>
              <w:t>1,359,986</w:t>
            </w:r>
          </w:p>
        </w:tc>
        <w:tc>
          <w:tcPr>
            <w:tcW w:w="12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193,796</w:t>
            </w:r>
          </w:p>
        </w:tc>
      </w:tr>
      <w:tr>
        <w:trPr>
          <w:trHeight w:val="155"/>
        </w:trPr>
        <w:tc>
          <w:tcPr>
            <w:tcW w:w="48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2240" w:type="dxa"/>
            <w:vAlign w:val="bottom"/>
            <w:tcBorders>
              <w:bottom w:val="single" w:sz="8" w:color="auto"/>
            </w:tcBorders>
          </w:tcPr>
          <w:p>
            <w:pPr>
              <w:jc w:val="right"/>
              <w:ind w:right="65"/>
              <w:spacing w:after="0" w:line="156" w:lineRule="exact"/>
              <w:rPr>
                <w:sz w:val="20"/>
                <w:szCs w:val="20"/>
                <w:color w:val="auto"/>
              </w:rPr>
            </w:pPr>
            <w:r>
              <w:rPr>
                <w:rFonts w:ascii="Times New Roman" w:cs="Times New Roman" w:eastAsia="Times New Roman" w:hAnsi="Times New Roman"/>
                <w:sz w:val="15"/>
                <w:szCs w:val="15"/>
                <w:color w:val="auto"/>
              </w:rPr>
              <w:t>3,711,461</w:t>
            </w:r>
          </w:p>
        </w:tc>
        <w:tc>
          <w:tcPr>
            <w:tcW w:w="140" w:type="dxa"/>
            <w:vAlign w:val="bottom"/>
          </w:tcPr>
          <w:p>
            <w:pPr>
              <w:spacing w:after="0"/>
              <w:rPr>
                <w:sz w:val="13"/>
                <w:szCs w:val="13"/>
                <w:color w:val="auto"/>
              </w:rPr>
            </w:pPr>
          </w:p>
        </w:tc>
        <w:tc>
          <w:tcPr>
            <w:tcW w:w="1920" w:type="dxa"/>
            <w:vAlign w:val="bottom"/>
            <w:tcBorders>
              <w:bottom w:val="single" w:sz="8" w:color="auto"/>
            </w:tcBorders>
          </w:tcPr>
          <w:p>
            <w:pPr>
              <w:jc w:val="right"/>
              <w:ind w:right="47"/>
              <w:spacing w:after="0" w:line="156" w:lineRule="exact"/>
              <w:rPr>
                <w:sz w:val="20"/>
                <w:szCs w:val="20"/>
                <w:color w:val="auto"/>
              </w:rPr>
            </w:pPr>
            <w:r>
              <w:rPr>
                <w:rFonts w:ascii="Times New Roman" w:cs="Times New Roman" w:eastAsia="Times New Roman" w:hAnsi="Times New Roman"/>
                <w:sz w:val="15"/>
                <w:szCs w:val="15"/>
                <w:color w:val="auto"/>
              </w:rPr>
              <w:t>3,609,004</w:t>
            </w:r>
          </w:p>
        </w:tc>
        <w:tc>
          <w:tcPr>
            <w:tcW w:w="1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514,281</w:t>
            </w:r>
          </w:p>
        </w:tc>
      </w:tr>
      <w:tr>
        <w:trPr>
          <w:trHeight w:val="195"/>
        </w:trPr>
        <w:tc>
          <w:tcPr>
            <w:tcW w:w="488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2240" w:type="dxa"/>
            <w:vAlign w:val="bottom"/>
            <w:tcBorders>
              <w:bottom w:val="single" w:sz="8" w:color="auto"/>
            </w:tcBorders>
            <w:shd w:val="clear" w:color="auto" w:fill="CFF0FC"/>
          </w:tcPr>
          <w:p>
            <w:pPr>
              <w:jc w:val="right"/>
              <w:ind w:right="65"/>
              <w:spacing w:after="0" w:line="156" w:lineRule="exact"/>
              <w:rPr>
                <w:sz w:val="20"/>
                <w:szCs w:val="20"/>
                <w:color w:val="auto"/>
              </w:rPr>
            </w:pPr>
            <w:r>
              <w:rPr>
                <w:rFonts w:ascii="Times New Roman" w:cs="Times New Roman" w:eastAsia="Times New Roman" w:hAnsi="Times New Roman"/>
                <w:sz w:val="15"/>
                <w:szCs w:val="15"/>
                <w:color w:val="auto"/>
              </w:rPr>
              <w:t>5,493,079</w:t>
            </w:r>
          </w:p>
        </w:tc>
        <w:tc>
          <w:tcPr>
            <w:tcW w:w="140" w:type="dxa"/>
            <w:vAlign w:val="bottom"/>
            <w:tcBorders>
              <w:bottom w:val="single" w:sz="8" w:color="CFF0FC"/>
            </w:tcBorders>
            <w:shd w:val="clear" w:color="auto" w:fill="CFF0FC"/>
          </w:tcPr>
          <w:p>
            <w:pPr>
              <w:spacing w:after="0"/>
              <w:rPr>
                <w:sz w:val="17"/>
                <w:szCs w:val="17"/>
                <w:color w:val="auto"/>
              </w:rPr>
            </w:pPr>
          </w:p>
        </w:tc>
        <w:tc>
          <w:tcPr>
            <w:tcW w:w="1920" w:type="dxa"/>
            <w:vAlign w:val="bottom"/>
            <w:tcBorders>
              <w:bottom w:val="single" w:sz="8" w:color="auto"/>
            </w:tcBorders>
            <w:shd w:val="clear" w:color="auto" w:fill="CFF0FC"/>
          </w:tcPr>
          <w:p>
            <w:pPr>
              <w:jc w:val="right"/>
              <w:ind w:right="47"/>
              <w:spacing w:after="0" w:line="156" w:lineRule="exact"/>
              <w:rPr>
                <w:sz w:val="20"/>
                <w:szCs w:val="20"/>
                <w:color w:val="auto"/>
              </w:rPr>
            </w:pPr>
            <w:r>
              <w:rPr>
                <w:rFonts w:ascii="Times New Roman" w:cs="Times New Roman" w:eastAsia="Times New Roman" w:hAnsi="Times New Roman"/>
                <w:sz w:val="15"/>
                <w:szCs w:val="15"/>
                <w:color w:val="auto"/>
              </w:rPr>
              <w:t>4,968,990</w:t>
            </w: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708,077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-2605405</wp:posOffset>
            </wp:positionV>
            <wp:extent cx="8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-2605405</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-1971040</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-1971040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-1748155</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-1731010</wp:posOffset>
            </wp:positionV>
            <wp:extent cx="85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-1748155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-1731010</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-899795</wp:posOffset>
            </wp:positionV>
            <wp:extent cx="85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-899795</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-471170</wp:posOffset>
            </wp:positionV>
            <wp:extent cx="857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-471170</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and otherwise noted)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3420" w:type="dxa"/>
            <w:vAlign w:val="bottom"/>
            <w:tcBorders>
              <w:bottom w:val="single" w:sz="8" w:color="auto"/>
            </w:tcBorders>
            <w:gridSpan w:val="6"/>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3340" w:type="dxa"/>
            <w:vAlign w:val="bottom"/>
            <w:tcBorders>
              <w:bottom w:val="single" w:sz="8" w:color="auto"/>
            </w:tcBorders>
            <w:gridSpan w:val="6"/>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4360" w:type="dxa"/>
            <w:vAlign w:val="bottom"/>
          </w:tcPr>
          <w:p>
            <w:pPr>
              <w:spacing w:after="0"/>
              <w:rPr>
                <w:sz w:val="17"/>
                <w:szCs w:val="17"/>
                <w:color w:val="auto"/>
              </w:rPr>
            </w:pPr>
          </w:p>
        </w:tc>
        <w:tc>
          <w:tcPr>
            <w:tcW w:w="11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tcPr>
          <w:p>
            <w:pPr>
              <w:spacing w:after="0"/>
              <w:rPr>
                <w:sz w:val="17"/>
                <w:szCs w:val="17"/>
                <w:color w:val="auto"/>
              </w:rPr>
            </w:pPr>
          </w:p>
        </w:tc>
      </w:tr>
      <w:tr>
        <w:trPr>
          <w:trHeight w:val="196"/>
        </w:trPr>
        <w:tc>
          <w:tcPr>
            <w:tcW w:w="4360" w:type="dxa"/>
            <w:vAlign w:val="bottom"/>
          </w:tcPr>
          <w:p>
            <w:pPr>
              <w:spacing w:after="0"/>
              <w:rPr>
                <w:sz w:val="17"/>
                <w:szCs w:val="17"/>
                <w:color w:val="auto"/>
              </w:rPr>
            </w:pPr>
          </w:p>
        </w:tc>
        <w:tc>
          <w:tcPr>
            <w:tcW w:w="11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RMB</w:t>
            </w:r>
          </w:p>
        </w:tc>
        <w:tc>
          <w:tcPr>
            <w:tcW w:w="140" w:type="dxa"/>
            <w:vAlign w:val="bottom"/>
          </w:tcPr>
          <w:p>
            <w:pPr>
              <w:spacing w:after="0"/>
              <w:rPr>
                <w:sz w:val="17"/>
                <w:szCs w:val="17"/>
                <w:color w:val="auto"/>
              </w:rPr>
            </w:pPr>
          </w:p>
        </w:tc>
        <w:tc>
          <w:tcPr>
            <w:tcW w:w="1240" w:type="dxa"/>
            <w:vAlign w:val="bottom"/>
            <w:tcBorders>
              <w:top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RMB</w:t>
            </w:r>
          </w:p>
        </w:tc>
        <w:tc>
          <w:tcPr>
            <w:tcW w:w="9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US$</w:t>
            </w:r>
          </w:p>
        </w:tc>
        <w:tc>
          <w:tcPr>
            <w:tcW w:w="120" w:type="dxa"/>
            <w:vAlign w:val="bottom"/>
          </w:tcPr>
          <w:p>
            <w:pPr>
              <w:spacing w:after="0"/>
              <w:rPr>
                <w:sz w:val="17"/>
                <w:szCs w:val="17"/>
                <w:color w:val="auto"/>
              </w:rPr>
            </w:pPr>
          </w:p>
        </w:tc>
        <w:tc>
          <w:tcPr>
            <w:tcW w:w="108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7"/>
                <w:szCs w:val="17"/>
                <w:color w:val="auto"/>
              </w:rPr>
            </w:pPr>
          </w:p>
        </w:tc>
        <w:tc>
          <w:tcPr>
            <w:tcW w:w="1220" w:type="dxa"/>
            <w:vAlign w:val="bottom"/>
            <w:tcBorders>
              <w:top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RMB</w:t>
            </w:r>
          </w:p>
        </w:tc>
        <w:tc>
          <w:tcPr>
            <w:tcW w:w="9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US$</w:t>
            </w:r>
          </w:p>
        </w:tc>
      </w:tr>
      <w:tr>
        <w:trPr>
          <w:trHeight w:val="20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product revenues</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2,923,970</w:t>
            </w:r>
          </w:p>
        </w:tc>
        <w:tc>
          <w:tcPr>
            <w:tcW w:w="11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3,672,239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523,290</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8,135,824</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10,383,813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1,479,682</w:t>
            </w:r>
          </w:p>
        </w:tc>
      </w:tr>
      <w:tr>
        <w:trPr>
          <w:trHeight w:val="159"/>
        </w:trPr>
        <w:tc>
          <w:tcPr>
            <w:tcW w:w="43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Net service revenues</w:t>
            </w:r>
          </w:p>
        </w:tc>
        <w:tc>
          <w:tcPr>
            <w:tcW w:w="1120" w:type="dxa"/>
            <w:vAlign w:val="bottom"/>
          </w:tcPr>
          <w:p>
            <w:pPr>
              <w:jc w:val="right"/>
              <w:ind w:right="39"/>
              <w:spacing w:after="0" w:line="159" w:lineRule="exact"/>
              <w:rPr>
                <w:sz w:val="20"/>
                <w:szCs w:val="20"/>
                <w:color w:val="auto"/>
              </w:rPr>
            </w:pPr>
            <w:r>
              <w:rPr>
                <w:rFonts w:ascii="Times New Roman" w:cs="Times New Roman" w:eastAsia="Times New Roman" w:hAnsi="Times New Roman"/>
                <w:sz w:val="16"/>
                <w:szCs w:val="16"/>
                <w:color w:val="auto"/>
              </w:rPr>
              <w:t>332,787</w:t>
            </w:r>
          </w:p>
        </w:tc>
        <w:tc>
          <w:tcPr>
            <w:tcW w:w="1160" w:type="dxa"/>
            <w:vAlign w:val="bottom"/>
            <w:gridSpan w:val="2"/>
          </w:tcPr>
          <w:p>
            <w:pPr>
              <w:jc w:val="right"/>
              <w:ind w:right="39"/>
              <w:spacing w:after="0" w:line="159" w:lineRule="exact"/>
              <w:rPr>
                <w:sz w:val="20"/>
                <w:szCs w:val="20"/>
                <w:color w:val="auto"/>
              </w:rPr>
            </w:pPr>
            <w:r>
              <w:rPr>
                <w:rFonts w:ascii="Times New Roman" w:cs="Times New Roman" w:eastAsia="Times New Roman" w:hAnsi="Times New Roman"/>
                <w:sz w:val="16"/>
                <w:szCs w:val="16"/>
                <w:color w:val="auto"/>
              </w:rPr>
              <w:t>378,999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39"/>
              <w:spacing w:after="0" w:line="159" w:lineRule="exact"/>
              <w:rPr>
                <w:sz w:val="20"/>
                <w:szCs w:val="20"/>
                <w:color w:val="auto"/>
              </w:rPr>
            </w:pPr>
            <w:r>
              <w:rPr>
                <w:rFonts w:ascii="Times New Roman" w:cs="Times New Roman" w:eastAsia="Times New Roman" w:hAnsi="Times New Roman"/>
                <w:sz w:val="16"/>
                <w:szCs w:val="16"/>
                <w:color w:val="auto"/>
              </w:rPr>
              <w:t>54,007</w:t>
            </w:r>
          </w:p>
        </w:tc>
        <w:tc>
          <w:tcPr>
            <w:tcW w:w="1200" w:type="dxa"/>
            <w:vAlign w:val="bottom"/>
            <w:gridSpan w:val="2"/>
          </w:tcPr>
          <w:p>
            <w:pPr>
              <w:jc w:val="right"/>
              <w:ind w:right="39"/>
              <w:spacing w:after="0" w:line="159" w:lineRule="exact"/>
              <w:rPr>
                <w:sz w:val="20"/>
                <w:szCs w:val="20"/>
                <w:color w:val="auto"/>
              </w:rPr>
            </w:pPr>
            <w:r>
              <w:rPr>
                <w:rFonts w:ascii="Times New Roman" w:cs="Times New Roman" w:eastAsia="Times New Roman" w:hAnsi="Times New Roman"/>
                <w:sz w:val="16"/>
                <w:szCs w:val="16"/>
                <w:color w:val="auto"/>
              </w:rPr>
              <w:t>956,386</w:t>
            </w:r>
          </w:p>
        </w:tc>
        <w:tc>
          <w:tcPr>
            <w:tcW w:w="1100" w:type="dxa"/>
            <w:vAlign w:val="bottom"/>
            <w:gridSpan w:val="2"/>
          </w:tcPr>
          <w:p>
            <w:pPr>
              <w:jc w:val="right"/>
              <w:ind w:right="39"/>
              <w:spacing w:after="0" w:line="159" w:lineRule="exact"/>
              <w:rPr>
                <w:sz w:val="20"/>
                <w:szCs w:val="20"/>
                <w:color w:val="auto"/>
              </w:rPr>
            </w:pPr>
            <w:r>
              <w:rPr>
                <w:rFonts w:ascii="Times New Roman" w:cs="Times New Roman" w:eastAsia="Times New Roman" w:hAnsi="Times New Roman"/>
                <w:sz w:val="16"/>
                <w:szCs w:val="16"/>
                <w:color w:val="auto"/>
              </w:rPr>
              <w:t>1,095,264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39"/>
              <w:spacing w:after="0" w:line="159" w:lineRule="exact"/>
              <w:rPr>
                <w:sz w:val="20"/>
                <w:szCs w:val="20"/>
                <w:color w:val="auto"/>
              </w:rPr>
            </w:pPr>
            <w:r>
              <w:rPr>
                <w:rFonts w:ascii="Times New Roman" w:cs="Times New Roman" w:eastAsia="Times New Roman" w:hAnsi="Times New Roman"/>
                <w:sz w:val="16"/>
                <w:szCs w:val="16"/>
                <w:color w:val="auto"/>
              </w:rPr>
              <w:t>156,074</w:t>
            </w: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Operating (expenses) income </w:t>
            </w:r>
            <w:r>
              <w:rPr>
                <w:rFonts w:ascii="Times New Roman" w:cs="Times New Roman" w:eastAsia="Times New Roman" w:hAnsi="Times New Roman"/>
                <w:sz w:val="21"/>
                <w:szCs w:val="21"/>
                <w:b w:val="1"/>
                <w:bCs w:val="1"/>
                <w:color w:val="auto"/>
                <w:vertAlign w:val="superscript"/>
              </w:rPr>
              <w:t>(1)(2)</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0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Merchandise costs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(2,611,018 )</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(3,242,843 )</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(462,101 )</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(7,188,902 )</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(9,181,300 )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(1,308,325 )</w:t>
            </w: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Fulfillment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(287,704 )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(347,270 )</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(49,486 )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(822,913 )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(985,325 )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(140,408 )</w:t>
            </w:r>
          </w:p>
        </w:tc>
      </w:tr>
      <w:tr>
        <w:trPr>
          <w:trHeight w:val="20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(299,491 )</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(315,293 )</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(44,929 )</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(933,835 )</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(990,607 )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(141,160 )</w:t>
            </w: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(69,826 )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(69,302 )</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(9,875 )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(203,794 )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(215,671 )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(30,733 )</w:t>
            </w:r>
          </w:p>
        </w:tc>
      </w:tr>
      <w:tr>
        <w:trPr>
          <w:trHeight w:val="20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Technology and content expenses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(39,430 )</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(53,396 )</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(7,609 )</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(131,905 )</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(153,391 )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(21,858 )</w:t>
            </w: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income, net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22,640</w:t>
            </w:r>
          </w:p>
        </w:tc>
        <w:tc>
          <w:tcPr>
            <w:tcW w:w="140" w:type="dxa"/>
            <w:vAlign w:val="bottom"/>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1,751</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250</w:t>
            </w:r>
          </w:p>
        </w:tc>
        <w:tc>
          <w:tcPr>
            <w:tcW w:w="120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32,512</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23,082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3,289</w:t>
            </w:r>
          </w:p>
        </w:tc>
      </w:tr>
      <w:tr>
        <w:trPr>
          <w:trHeight w:val="19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(28,072 )</w:t>
            </w:r>
          </w:p>
        </w:tc>
        <w:tc>
          <w:tcPr>
            <w:tcW w:w="11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24,885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3,547</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(156,627 )</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(24,135 )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(3,439 )</w:t>
            </w: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(2,186 )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(3,615 )</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(5,498 )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(12,332 )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(1,757 )</w:t>
            </w:r>
          </w:p>
        </w:tc>
      </w:tr>
      <w:tr>
        <w:trPr>
          <w:trHeight w:val="20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11,083</w:t>
            </w:r>
          </w:p>
        </w:tc>
        <w:tc>
          <w:tcPr>
            <w:tcW w:w="11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8,686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1,238</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24,658</w:t>
            </w:r>
          </w:p>
        </w:tc>
        <w:tc>
          <w:tcPr>
            <w:tcW w:w="1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20,611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2,937</w:t>
            </w: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(loss) income,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(4,428 )</w:t>
            </w:r>
          </w:p>
        </w:tc>
        <w:tc>
          <w:tcPr>
            <w:tcW w:w="11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(6,719 )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(41,305 )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(5,886 )</w:t>
            </w:r>
          </w:p>
        </w:tc>
      </w:tr>
      <w:tr>
        <w:trPr>
          <w:trHeight w:val="180"/>
        </w:trPr>
        <w:tc>
          <w:tcPr>
            <w:tcW w:w="436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Income (loss) before income taxes and share of loss in equity</w:t>
            </w:r>
          </w:p>
        </w:tc>
        <w:tc>
          <w:tcPr>
            <w:tcW w:w="112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r>
      <w:tr>
        <w:trPr>
          <w:trHeight w:val="21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method investments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(23,603 )</w:t>
            </w:r>
          </w:p>
        </w:tc>
        <w:tc>
          <w:tcPr>
            <w:tcW w:w="11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30,003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4,277</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(144,186 )</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(57,161 )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(8,145 )</w:t>
            </w: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benefits</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10,047</w:t>
            </w:r>
          </w:p>
        </w:tc>
        <w:tc>
          <w:tcPr>
            <w:tcW w:w="11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5,949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848</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33,607</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24,536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3,496</w:t>
            </w:r>
          </w:p>
        </w:tc>
      </w:tr>
      <w:tr>
        <w:trPr>
          <w:trHeight w:val="203"/>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 of loss in equity method investments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(30,632 )</w:t>
            </w:r>
          </w:p>
        </w:tc>
        <w:tc>
          <w:tcPr>
            <w:tcW w:w="1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(18,069 )</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(2,575 )</w:t>
            </w: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(48,449 )</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(53,028 )</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(7,556 )</w:t>
            </w:r>
          </w:p>
        </w:tc>
      </w:tr>
      <w:tr>
        <w:trPr>
          <w:trHeight w:val="196"/>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(44,188 )</w:t>
            </w:r>
          </w:p>
        </w:tc>
        <w:tc>
          <w:tcPr>
            <w:tcW w:w="11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17,883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(159,028 )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(85,653 )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(12,205 )</w:t>
            </w:r>
          </w:p>
        </w:tc>
      </w:tr>
      <w:tr>
        <w:trPr>
          <w:trHeight w:val="20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ordinary share:</w:t>
            </w: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(0.27 )</w:t>
            </w:r>
          </w:p>
        </w:tc>
        <w:tc>
          <w:tcPr>
            <w:tcW w:w="11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(0.99 )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(0.08 )</w:t>
            </w:r>
          </w:p>
        </w:tc>
      </w:tr>
      <w:tr>
        <w:trPr>
          <w:trHeight w:val="20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(0.27 )</w:t>
            </w:r>
          </w:p>
        </w:tc>
        <w:tc>
          <w:tcPr>
            <w:tcW w:w="11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0.11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0.02</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(0.99 )</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(0.53 )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(0.08 )</w:t>
            </w:r>
          </w:p>
        </w:tc>
      </w:tr>
      <w:tr>
        <w:trPr>
          <w:trHeight w:val="18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used in calculating net</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5"/>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per ordinary share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2"/>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161,405,77</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161,405,77</w:t>
            </w: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162,011,11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r>
      <w:tr>
        <w:trPr>
          <w:trHeight w:val="216"/>
        </w:trPr>
        <w:tc>
          <w:tcPr>
            <w:tcW w:w="4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161,338,983</w:t>
            </w:r>
          </w:p>
        </w:tc>
        <w:tc>
          <w:tcPr>
            <w:tcW w:w="11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161,393,190</w:t>
            </w:r>
          </w:p>
        </w:tc>
        <w:tc>
          <w:tcPr>
            <w:tcW w:w="1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162,011,110</w:t>
            </w:r>
          </w:p>
        </w:tc>
      </w:tr>
      <w:tr>
        <w:trPr>
          <w:trHeight w:val="189"/>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120" w:type="dxa"/>
            <w:vAlign w:val="bottom"/>
          </w:tcPr>
          <w:p>
            <w:pPr>
              <w:spacing w:after="0"/>
              <w:rPr>
                <w:sz w:val="16"/>
                <w:szCs w:val="16"/>
                <w:color w:val="auto"/>
              </w:rPr>
            </w:pPr>
          </w:p>
        </w:tc>
        <w:tc>
          <w:tcPr>
            <w:tcW w:w="11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164,258,72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164,258,72</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162,011,11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3"/>
        </w:trPr>
        <w:tc>
          <w:tcPr>
            <w:tcW w:w="4360" w:type="dxa"/>
            <w:vAlign w:val="bottom"/>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161,338,983</w:t>
            </w:r>
          </w:p>
        </w:tc>
        <w:tc>
          <w:tcPr>
            <w:tcW w:w="140" w:type="dxa"/>
            <w:vAlign w:val="bottom"/>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20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161,393,190</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162,011,110</w:t>
            </w:r>
          </w:p>
        </w:tc>
      </w:tr>
      <w:tr>
        <w:trPr>
          <w:trHeight w:val="19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(44,188 )</w:t>
            </w:r>
          </w:p>
        </w:tc>
        <w:tc>
          <w:tcPr>
            <w:tcW w:w="11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17,883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2,550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(159,028 )</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(85,653 )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(12,205 )</w:t>
            </w: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(5,676 )</w:t>
            </w:r>
          </w:p>
        </w:tc>
        <w:tc>
          <w:tcPr>
            <w:tcW w:w="14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(7,093 )</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(1,011 )</w:t>
            </w:r>
          </w:p>
        </w:tc>
        <w:tc>
          <w:tcPr>
            <w:tcW w:w="120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15,897</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(7,183 )</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(1,024 )</w:t>
            </w:r>
          </w:p>
        </w:tc>
      </w:tr>
      <w:tr>
        <w:trPr>
          <w:trHeight w:val="19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(49,864 )</w:t>
            </w:r>
          </w:p>
        </w:tc>
        <w:tc>
          <w:tcPr>
            <w:tcW w:w="11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10,790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1,539</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(143,131 )</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(92,836 )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(13,229 )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-3771265</wp:posOffset>
            </wp:positionV>
            <wp:extent cx="713232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-1696720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-1696720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-1696720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-1696720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and otherwise noted)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31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310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9"/>
        </w:trPr>
        <w:tc>
          <w:tcPr>
            <w:tcW w:w="4940" w:type="dxa"/>
            <w:vAlign w:val="bottom"/>
          </w:tcPr>
          <w:p>
            <w:pPr>
              <w:spacing w:after="0"/>
              <w:rPr>
                <w:sz w:val="18"/>
                <w:szCs w:val="18"/>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20" w:type="dxa"/>
            <w:vAlign w:val="bottom"/>
          </w:tcPr>
          <w:p>
            <w:pPr>
              <w:spacing w:after="0"/>
              <w:rPr>
                <w:sz w:val="18"/>
                <w:szCs w:val="18"/>
                <w:color w:val="auto"/>
              </w:rPr>
            </w:pPr>
          </w:p>
        </w:tc>
      </w:tr>
      <w:tr>
        <w:trPr>
          <w:trHeight w:val="213"/>
        </w:trPr>
        <w:tc>
          <w:tcPr>
            <w:tcW w:w="4940" w:type="dxa"/>
            <w:vAlign w:val="bottom"/>
          </w:tcPr>
          <w:p>
            <w:pPr>
              <w:spacing w:after="0"/>
              <w:rPr>
                <w:sz w:val="18"/>
                <w:szCs w:val="18"/>
                <w:color w:val="auto"/>
              </w:rPr>
            </w:pPr>
          </w:p>
        </w:tc>
        <w:tc>
          <w:tcPr>
            <w:tcW w:w="9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RMB</w:t>
            </w:r>
          </w:p>
        </w:tc>
        <w:tc>
          <w:tcPr>
            <w:tcW w:w="7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94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RMB</w:t>
            </w:r>
          </w:p>
        </w:tc>
        <w:tc>
          <w:tcPr>
            <w:tcW w:w="8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(1) Includes share-based compensation expenses as follows:</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Fulfillment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(5,362 )</w:t>
            </w:r>
          </w:p>
        </w:tc>
        <w:tc>
          <w:tcPr>
            <w:tcW w:w="13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(3,021 )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(17,910 )</w:t>
            </w:r>
          </w:p>
        </w:tc>
        <w:tc>
          <w:tcPr>
            <w:tcW w:w="13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(15,992 )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(2,279 )</w:t>
            </w: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(5,165 )</w:t>
            </w:r>
          </w:p>
        </w:tc>
        <w:tc>
          <w:tcPr>
            <w:tcW w:w="13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(12,220 )</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(1,741 )</w:t>
            </w:r>
          </w:p>
        </w:tc>
        <w:tc>
          <w:tcPr>
            <w:tcW w:w="10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(13,266 )</w:t>
            </w:r>
          </w:p>
        </w:tc>
        <w:tc>
          <w:tcPr>
            <w:tcW w:w="13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(56,792 )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(8,093 )</w:t>
            </w: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(19,239 )</w:t>
            </w:r>
          </w:p>
        </w:tc>
        <w:tc>
          <w:tcPr>
            <w:tcW w:w="13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(13,854 )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(1,974 )</w:t>
            </w: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(56,182 )</w:t>
            </w:r>
          </w:p>
        </w:tc>
        <w:tc>
          <w:tcPr>
            <w:tcW w:w="13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(45,924 )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(6,544 )</w:t>
            </w: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 and content expenses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(5,218 )</w:t>
            </w:r>
          </w:p>
        </w:tc>
        <w:tc>
          <w:tcPr>
            <w:tcW w:w="13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(3,657 )</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10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(15,649 )</w:t>
            </w:r>
          </w:p>
        </w:tc>
        <w:tc>
          <w:tcPr>
            <w:tcW w:w="13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(13,611 )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(1,940 )</w:t>
            </w:r>
          </w:p>
        </w:tc>
      </w:tr>
    </w:tbl>
    <w:p>
      <w:pPr>
        <w:jc w:val="center"/>
        <w:ind w:left="20" w:right="6460" w:firstLine="1"/>
        <w:spacing w:after="0" w:line="277" w:lineRule="auto"/>
        <w:tabs>
          <w:tab w:leader="none" w:pos="275"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Includes amortization of intangible assets and deferred cost resulting from assets and business acquisitions as follows:</w:t>
      </w:r>
    </w:p>
    <w:tbl>
      <w:tblPr>
        <w:tblLayout w:type="fixed"/>
        <w:tblInd w:w="0" w:type="dxa"/>
        <w:tblCellMar>
          <w:top w:w="0" w:type="dxa"/>
          <w:left w:w="0" w:type="dxa"/>
          <w:bottom w:w="0" w:type="dxa"/>
          <w:right w:w="0" w:type="dxa"/>
        </w:tblCellMar>
      </w:tblPr>
      <w:tr>
        <w:trPr>
          <w:trHeight w:val="197"/>
        </w:trPr>
        <w:tc>
          <w:tcPr>
            <w:tcW w:w="3840" w:type="dxa"/>
            <w:vAlign w:val="bottom"/>
            <w:shd w:val="clear" w:color="auto" w:fill="CFF0FC"/>
          </w:tcPr>
          <w:p>
            <w:pPr>
              <w:ind w:left="20"/>
              <w:spacing w:after="0" w:line="197" w:lineRule="exact"/>
              <w:rPr>
                <w:sz w:val="20"/>
                <w:szCs w:val="20"/>
                <w:color w:val="auto"/>
              </w:rPr>
            </w:pPr>
            <w:r>
              <w:rPr>
                <w:rFonts w:ascii="Times New Roman" w:cs="Times New Roman" w:eastAsia="Times New Roman" w:hAnsi="Times New Roman"/>
                <w:sz w:val="18"/>
                <w:szCs w:val="18"/>
                <w:color w:val="auto"/>
              </w:rPr>
              <w:t>Selling and marketing expenses</w:t>
            </w:r>
          </w:p>
        </w:tc>
        <w:tc>
          <w:tcPr>
            <w:tcW w:w="2240" w:type="dxa"/>
            <w:vAlign w:val="bottom"/>
            <w:shd w:val="clear" w:color="auto" w:fill="CFF0FC"/>
          </w:tcPr>
          <w:p>
            <w:pPr>
              <w:jc w:val="right"/>
              <w:ind w:right="130"/>
              <w:spacing w:after="0" w:line="197" w:lineRule="exact"/>
              <w:rPr>
                <w:sz w:val="20"/>
                <w:szCs w:val="20"/>
                <w:color w:val="auto"/>
              </w:rPr>
            </w:pPr>
            <w:r>
              <w:rPr>
                <w:rFonts w:ascii="Times New Roman" w:cs="Times New Roman" w:eastAsia="Times New Roman" w:hAnsi="Times New Roman"/>
                <w:sz w:val="18"/>
                <w:szCs w:val="18"/>
                <w:color w:val="auto"/>
              </w:rPr>
              <w:t>(66,412 )</w:t>
            </w:r>
          </w:p>
        </w:tc>
        <w:tc>
          <w:tcPr>
            <w:tcW w:w="1120" w:type="dxa"/>
            <w:vAlign w:val="bottom"/>
            <w:shd w:val="clear" w:color="auto" w:fill="CFF0FC"/>
          </w:tcPr>
          <w:p>
            <w:pPr>
              <w:jc w:val="right"/>
              <w:ind w:right="150"/>
              <w:spacing w:after="0" w:line="197" w:lineRule="exact"/>
              <w:rPr>
                <w:sz w:val="20"/>
                <w:szCs w:val="20"/>
                <w:color w:val="auto"/>
              </w:rPr>
            </w:pPr>
            <w:r>
              <w:rPr>
                <w:rFonts w:ascii="Times New Roman" w:cs="Times New Roman" w:eastAsia="Times New Roman" w:hAnsi="Times New Roman"/>
                <w:sz w:val="18"/>
                <w:szCs w:val="18"/>
                <w:color w:val="auto"/>
              </w:rPr>
              <w:t>(46,263 )</w:t>
            </w:r>
          </w:p>
        </w:tc>
        <w:tc>
          <w:tcPr>
            <w:tcW w:w="960" w:type="dxa"/>
            <w:vAlign w:val="bottom"/>
            <w:shd w:val="clear" w:color="auto" w:fill="CFF0FC"/>
          </w:tcPr>
          <w:p>
            <w:pPr>
              <w:jc w:val="right"/>
              <w:ind w:right="70"/>
              <w:spacing w:after="0" w:line="197" w:lineRule="exact"/>
              <w:rPr>
                <w:sz w:val="20"/>
                <w:szCs w:val="20"/>
                <w:color w:val="auto"/>
              </w:rPr>
            </w:pPr>
            <w:r>
              <w:rPr>
                <w:rFonts w:ascii="Times New Roman" w:cs="Times New Roman" w:eastAsia="Times New Roman" w:hAnsi="Times New Roman"/>
                <w:sz w:val="18"/>
                <w:szCs w:val="18"/>
                <w:color w:val="auto"/>
              </w:rPr>
              <w:t>(6,592 )</w:t>
            </w:r>
          </w:p>
        </w:tc>
        <w:tc>
          <w:tcPr>
            <w:tcW w:w="1040" w:type="dxa"/>
            <w:vAlign w:val="bottom"/>
            <w:shd w:val="clear" w:color="auto" w:fill="CFF0FC"/>
          </w:tcPr>
          <w:p>
            <w:pPr>
              <w:jc w:val="right"/>
              <w:ind w:right="70"/>
              <w:spacing w:after="0" w:line="197" w:lineRule="exact"/>
              <w:rPr>
                <w:sz w:val="20"/>
                <w:szCs w:val="20"/>
                <w:color w:val="auto"/>
              </w:rPr>
            </w:pPr>
            <w:r>
              <w:rPr>
                <w:rFonts w:ascii="Times New Roman" w:cs="Times New Roman" w:eastAsia="Times New Roman" w:hAnsi="Times New Roman"/>
                <w:sz w:val="18"/>
                <w:szCs w:val="18"/>
                <w:color w:val="auto"/>
              </w:rPr>
              <w:t>(222,337 )</w:t>
            </w:r>
          </w:p>
        </w:tc>
        <w:tc>
          <w:tcPr>
            <w:tcW w:w="1120" w:type="dxa"/>
            <w:vAlign w:val="bottom"/>
            <w:shd w:val="clear" w:color="auto" w:fill="CFF0FC"/>
          </w:tcPr>
          <w:p>
            <w:pPr>
              <w:jc w:val="right"/>
              <w:ind w:right="150"/>
              <w:spacing w:after="0" w:line="197" w:lineRule="exact"/>
              <w:rPr>
                <w:sz w:val="20"/>
                <w:szCs w:val="20"/>
                <w:color w:val="auto"/>
              </w:rPr>
            </w:pPr>
            <w:r>
              <w:rPr>
                <w:rFonts w:ascii="Times New Roman" w:cs="Times New Roman" w:eastAsia="Times New Roman" w:hAnsi="Times New Roman"/>
                <w:sz w:val="18"/>
                <w:szCs w:val="18"/>
                <w:color w:val="auto"/>
              </w:rPr>
              <w:t>(169,154 )</w:t>
            </w:r>
          </w:p>
        </w:tc>
        <w:tc>
          <w:tcPr>
            <w:tcW w:w="920" w:type="dxa"/>
            <w:vAlign w:val="bottom"/>
            <w:shd w:val="clear" w:color="auto" w:fill="CFF0FC"/>
          </w:tcPr>
          <w:p>
            <w:pPr>
              <w:jc w:val="right"/>
              <w:spacing w:after="0" w:line="197" w:lineRule="exact"/>
              <w:rPr>
                <w:sz w:val="20"/>
                <w:szCs w:val="20"/>
                <w:color w:val="auto"/>
              </w:rPr>
            </w:pPr>
            <w:r>
              <w:rPr>
                <w:rFonts w:ascii="Times New Roman" w:cs="Times New Roman" w:eastAsia="Times New Roman" w:hAnsi="Times New Roman"/>
                <w:sz w:val="18"/>
                <w:szCs w:val="18"/>
                <w:color w:val="auto"/>
              </w:rPr>
              <w:t>(24,104 )</w:t>
            </w:r>
          </w:p>
        </w:tc>
      </w:t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content expenses</w:t>
            </w:r>
          </w:p>
        </w:tc>
        <w:tc>
          <w:tcPr>
            <w:tcW w:w="2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(482 )</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(130 )</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(19 )</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(1,446 )</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(981 )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724"/>
        </w:trPr>
        <w:tc>
          <w:tcPr>
            <w:tcW w:w="3840" w:type="dxa"/>
            <w:vAlign w:val="bottom"/>
          </w:tcPr>
          <w:p>
            <w:pPr>
              <w:spacing w:after="0"/>
              <w:rPr>
                <w:sz w:val="24"/>
                <w:szCs w:val="24"/>
                <w:color w:val="auto"/>
              </w:rPr>
            </w:pPr>
          </w:p>
        </w:tc>
        <w:tc>
          <w:tcPr>
            <w:tcW w:w="2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63"/>
        </w:trPr>
        <w:tc>
          <w:tcPr>
            <w:tcW w:w="38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Reconciliations of GAAP and Non-GAAP Results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(Amounts in thousands, except share and per share and otherwise noted)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302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98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9"/>
        </w:trPr>
        <w:tc>
          <w:tcPr>
            <w:tcW w:w="5120" w:type="dxa"/>
            <w:vAlign w:val="bottom"/>
          </w:tcPr>
          <w:p>
            <w:pPr>
              <w:spacing w:after="0"/>
              <w:rPr>
                <w:sz w:val="18"/>
                <w:szCs w:val="18"/>
                <w:color w:val="auto"/>
              </w:rPr>
            </w:pP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Pr>
          <w:p>
            <w:pPr>
              <w:spacing w:after="0"/>
              <w:rPr>
                <w:sz w:val="18"/>
                <w:szCs w:val="18"/>
                <w:color w:val="auto"/>
              </w:rPr>
            </w:pPr>
          </w:p>
        </w:tc>
      </w:tr>
      <w:tr>
        <w:trPr>
          <w:trHeight w:val="213"/>
        </w:trPr>
        <w:tc>
          <w:tcPr>
            <w:tcW w:w="5120" w:type="dxa"/>
            <w:vAlign w:val="bottom"/>
          </w:tcPr>
          <w:p>
            <w:pPr>
              <w:spacing w:after="0"/>
              <w:rPr>
                <w:sz w:val="18"/>
                <w:szCs w:val="18"/>
                <w:color w:val="auto"/>
              </w:rPr>
            </w:pPr>
          </w:p>
        </w:tc>
        <w:tc>
          <w:tcPr>
            <w:tcW w:w="114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c>
          <w:tcPr>
            <w:tcW w:w="1060" w:type="dxa"/>
            <w:vAlign w:val="bottom"/>
            <w:tcBorders>
              <w:top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RMB</w:t>
            </w:r>
          </w:p>
        </w:tc>
        <w:tc>
          <w:tcPr>
            <w:tcW w:w="7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c>
          <w:tcPr>
            <w:tcW w:w="1020" w:type="dxa"/>
            <w:vAlign w:val="bottom"/>
            <w:tcBorders>
              <w:top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RMB</w:t>
            </w:r>
          </w:p>
        </w:tc>
        <w:tc>
          <w:tcPr>
            <w:tcW w:w="7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198"/>
        </w:trPr>
        <w:tc>
          <w:tcPr>
            <w:tcW w:w="51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(24,13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34"/>
        </w:trPr>
        <w:tc>
          <w:tcPr>
            <w:tcW w:w="5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(28,072 )</w:t>
            </w:r>
          </w:p>
        </w:tc>
        <w:tc>
          <w:tcPr>
            <w:tcW w:w="9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24,885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3,547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(156,627 )</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(3,439 )</w:t>
            </w: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8"/>
        </w:trPr>
        <w:tc>
          <w:tcPr>
            <w:tcW w:w="51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 compensation expenses</w:t>
            </w: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132,31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34"/>
        </w:trPr>
        <w:tc>
          <w:tcPr>
            <w:tcW w:w="5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34,984</w:t>
            </w:r>
          </w:p>
        </w:tc>
        <w:tc>
          <w:tcPr>
            <w:tcW w:w="9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32,752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4,666</w:t>
            </w:r>
          </w:p>
        </w:tc>
        <w:tc>
          <w:tcPr>
            <w:tcW w:w="122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103,007</w:t>
            </w:r>
          </w:p>
        </w:tc>
        <w:tc>
          <w:tcPr>
            <w:tcW w:w="9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18,856</w:t>
            </w:r>
          </w:p>
        </w:tc>
      </w:tr>
      <w:tr>
        <w:trPr>
          <w:trHeight w:val="198"/>
        </w:trPr>
        <w:tc>
          <w:tcPr>
            <w:tcW w:w="51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and deferred cost resulting from</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170,13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and business acquisitions</w:t>
            </w: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66,894</w:t>
            </w:r>
          </w:p>
        </w:tc>
        <w:tc>
          <w:tcPr>
            <w:tcW w:w="120" w:type="dxa"/>
            <w:vAlign w:val="bottom"/>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46,393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6,611</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223,783</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24,244</w:t>
            </w:r>
          </w:p>
        </w:tc>
      </w:tr>
      <w:tr>
        <w:trPr>
          <w:trHeight w:val="187"/>
        </w:trPr>
        <w:tc>
          <w:tcPr>
            <w:tcW w:w="512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Adjusted income from operations (non-GAAP)</w:t>
            </w:r>
          </w:p>
        </w:tc>
        <w:tc>
          <w:tcPr>
            <w:tcW w:w="11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104,03</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278,31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r>
      <w:tr>
        <w:trPr>
          <w:trHeight w:val="278"/>
        </w:trPr>
        <w:tc>
          <w:tcPr>
            <w:tcW w:w="51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73,806</w:t>
            </w:r>
          </w:p>
        </w:tc>
        <w:tc>
          <w:tcPr>
            <w:tcW w:w="1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14,824</w:t>
            </w:r>
          </w:p>
        </w:tc>
        <w:tc>
          <w:tcPr>
            <w:tcW w:w="1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170,163</w:t>
            </w:r>
          </w:p>
        </w:tc>
        <w:tc>
          <w:tcPr>
            <w:tcW w:w="1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39,661</w:t>
            </w:r>
          </w:p>
        </w:tc>
      </w:tr>
      <w:tr>
        <w:trPr>
          <w:trHeight w:val="178"/>
        </w:trPr>
        <w:tc>
          <w:tcPr>
            <w:tcW w:w="512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gridSpan w:val="2"/>
          </w:tcPr>
          <w:p>
            <w:pPr>
              <w:jc w:val="right"/>
              <w:ind w:right="10"/>
              <w:spacing w:after="0" w:line="178" w:lineRule="exact"/>
              <w:rPr>
                <w:sz w:val="20"/>
                <w:szCs w:val="20"/>
                <w:color w:val="auto"/>
              </w:rPr>
            </w:pPr>
            <w:r>
              <w:rPr>
                <w:rFonts w:ascii="Times New Roman" w:cs="Times New Roman" w:eastAsia="Times New Roman" w:hAnsi="Times New Roman"/>
                <w:sz w:val="18"/>
                <w:szCs w:val="18"/>
                <w:color w:val="auto"/>
              </w:rPr>
              <w:t>(85,65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4"/>
        </w:trPr>
        <w:tc>
          <w:tcPr>
            <w:tcW w:w="5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(44,188 )</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17,883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(159,028 )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(12,205 )</w:t>
            </w:r>
          </w:p>
        </w:tc>
      </w:tr>
      <w:tr>
        <w:trPr>
          <w:trHeight w:val="21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198"/>
        </w:trPr>
        <w:tc>
          <w:tcPr>
            <w:tcW w:w="51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 compensation expenses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132,31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4"/>
        </w:trPr>
        <w:tc>
          <w:tcPr>
            <w:tcW w:w="512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34,984</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32,752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4,666</w:t>
            </w:r>
          </w:p>
        </w:tc>
        <w:tc>
          <w:tcPr>
            <w:tcW w:w="12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103,007</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18,856</w:t>
            </w:r>
          </w:p>
        </w:tc>
      </w:tr>
      <w:tr>
        <w:trPr>
          <w:trHeight w:val="198"/>
        </w:trPr>
        <w:tc>
          <w:tcPr>
            <w:tcW w:w="51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and deferred cost resulting from</w:t>
            </w: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170,13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34"/>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and business acquisitions</w:t>
            </w: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66,894</w:t>
            </w:r>
          </w:p>
        </w:tc>
        <w:tc>
          <w:tcPr>
            <w:tcW w:w="9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46,393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6,611</w:t>
            </w:r>
          </w:p>
        </w:tc>
        <w:tc>
          <w:tcPr>
            <w:tcW w:w="122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223,783</w:t>
            </w:r>
          </w:p>
        </w:tc>
        <w:tc>
          <w:tcPr>
            <w:tcW w:w="9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24,244</w:t>
            </w: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8"/>
        </w:trPr>
        <w:tc>
          <w:tcPr>
            <w:tcW w:w="51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Tax effects of amortization of intangible assets and deferred cost</w:t>
            </w: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(25,55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34"/>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resulting from assets and business acquisitions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(10,047 )</w:t>
            </w:r>
          </w:p>
        </w:tc>
        <w:tc>
          <w:tcPr>
            <w:tcW w:w="1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(6,972 )</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(994 )</w:t>
            </w:r>
          </w:p>
        </w:tc>
        <w:tc>
          <w:tcPr>
            <w:tcW w:w="1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(33,607 )</w:t>
            </w:r>
          </w:p>
        </w:tc>
        <w:tc>
          <w:tcPr>
            <w:tcW w:w="1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(3,642 )</w:t>
            </w:r>
          </w:p>
        </w:tc>
      </w:tr>
      <w:tr>
        <w:trPr>
          <w:trHeight w:val="187"/>
        </w:trPr>
        <w:tc>
          <w:tcPr>
            <w:tcW w:w="51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Adjusted net income (non-GAAP)</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191,24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8"/>
        </w:trPr>
        <w:tc>
          <w:tcPr>
            <w:tcW w:w="512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47,643</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90,056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12,833</w:t>
            </w:r>
          </w:p>
        </w:tc>
        <w:tc>
          <w:tcPr>
            <w:tcW w:w="12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134,155</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27,253</w:t>
            </w:r>
          </w:p>
        </w:tc>
      </w:tr>
      <w:tr>
        <w:trPr>
          <w:trHeight w:val="20"/>
        </w:trPr>
        <w:tc>
          <w:tcPr>
            <w:tcW w:w="5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1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Adjusted net income per ordinary share (non-GAAP):</w:t>
            </w: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0.30</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c>
          <w:tcPr>
            <w:tcW w:w="12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0.83</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0.29</w:t>
            </w:r>
          </w:p>
        </w:tc>
        <w:tc>
          <w:tcPr>
            <w:tcW w:w="9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c>
          <w:tcPr>
            <w:tcW w:w="122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0.80</w:t>
            </w:r>
          </w:p>
        </w:tc>
        <w:tc>
          <w:tcPr>
            <w:tcW w:w="9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0.17</w:t>
            </w:r>
          </w:p>
        </w:tc>
      </w:tr>
      <w:tr>
        <w:trPr>
          <w:trHeight w:val="194"/>
        </w:trPr>
        <w:tc>
          <w:tcPr>
            <w:tcW w:w="51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shares used in calculating net</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per ordinary share</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8"/>
        </w:trPr>
        <w:tc>
          <w:tcPr>
            <w:tcW w:w="51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Basic</w:t>
            </w:r>
          </w:p>
        </w:tc>
        <w:tc>
          <w:tcPr>
            <w:tcW w:w="1140" w:type="dxa"/>
            <w:vAlign w:val="bottom"/>
            <w:shd w:val="clear" w:color="auto" w:fill="CFF0FC"/>
          </w:tcPr>
          <w:p>
            <w:pPr>
              <w:jc w:val="right"/>
              <w:ind w:right="51"/>
              <w:spacing w:after="0" w:line="198" w:lineRule="exact"/>
              <w:rPr>
                <w:sz w:val="20"/>
                <w:szCs w:val="20"/>
                <w:color w:val="auto"/>
              </w:rPr>
            </w:pPr>
            <w:r>
              <w:rPr>
                <w:rFonts w:ascii="Times New Roman" w:cs="Times New Roman" w:eastAsia="Times New Roman" w:hAnsi="Times New Roman"/>
                <w:sz w:val="18"/>
                <w:szCs w:val="18"/>
                <w:color w:val="auto"/>
              </w:rPr>
              <w:t>161,338,98</w:t>
            </w:r>
          </w:p>
        </w:tc>
        <w:tc>
          <w:tcPr>
            <w:tcW w:w="960" w:type="dxa"/>
            <w:vAlign w:val="bottom"/>
            <w:gridSpan w:val="2"/>
            <w:shd w:val="clear" w:color="auto" w:fill="CFF0FC"/>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161,40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161,40</w:t>
            </w:r>
          </w:p>
        </w:tc>
        <w:tc>
          <w:tcPr>
            <w:tcW w:w="1220" w:type="dxa"/>
            <w:vAlign w:val="bottom"/>
            <w:gridSpan w:val="2"/>
            <w:shd w:val="clear" w:color="auto" w:fill="CFF0FC"/>
          </w:tcPr>
          <w:p>
            <w:pPr>
              <w:jc w:val="right"/>
              <w:ind w:right="33"/>
              <w:spacing w:after="0" w:line="198" w:lineRule="exact"/>
              <w:rPr>
                <w:sz w:val="20"/>
                <w:szCs w:val="20"/>
                <w:color w:val="auto"/>
              </w:rPr>
            </w:pPr>
            <w:r>
              <w:rPr>
                <w:rFonts w:ascii="Times New Roman" w:cs="Times New Roman" w:eastAsia="Times New Roman" w:hAnsi="Times New Roman"/>
                <w:sz w:val="18"/>
                <w:szCs w:val="18"/>
                <w:color w:val="auto"/>
              </w:rPr>
              <w:t>161,393,19</w:t>
            </w:r>
          </w:p>
        </w:tc>
        <w:tc>
          <w:tcPr>
            <w:tcW w:w="900" w:type="dxa"/>
            <w:vAlign w:val="bottom"/>
            <w:gridSpan w:val="2"/>
            <w:shd w:val="clear" w:color="auto" w:fill="CFF0FC"/>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162,01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162,011</w:t>
            </w:r>
          </w:p>
        </w:tc>
      </w:tr>
      <w:tr>
        <w:trPr>
          <w:trHeight w:val="234"/>
        </w:trPr>
        <w:tc>
          <w:tcPr>
            <w:tcW w:w="5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5,774</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5,774</w:t>
            </w:r>
          </w:p>
        </w:tc>
        <w:tc>
          <w:tcPr>
            <w:tcW w:w="122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r>
      <w:tr>
        <w:trPr>
          <w:trHeight w:val="198"/>
        </w:trPr>
        <w:tc>
          <w:tcPr>
            <w:tcW w:w="51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Pr>
          <w:p>
            <w:pPr>
              <w:jc w:val="right"/>
              <w:ind w:right="31"/>
              <w:spacing w:after="0" w:line="198" w:lineRule="exact"/>
              <w:rPr>
                <w:sz w:val="20"/>
                <w:szCs w:val="20"/>
                <w:color w:val="auto"/>
              </w:rPr>
            </w:pPr>
            <w:r>
              <w:rPr>
                <w:rFonts w:ascii="Times New Roman" w:cs="Times New Roman" w:eastAsia="Times New Roman" w:hAnsi="Times New Roman"/>
                <w:sz w:val="18"/>
                <w:szCs w:val="18"/>
                <w:color w:val="auto"/>
              </w:rPr>
              <w:t>166,112,35</w:t>
            </w:r>
          </w:p>
        </w:tc>
        <w:tc>
          <w:tcPr>
            <w:tcW w:w="960" w:type="dxa"/>
            <w:vAlign w:val="bottom"/>
            <w:gridSpan w:val="2"/>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164,25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164,25</w:t>
            </w:r>
          </w:p>
        </w:tc>
        <w:tc>
          <w:tcPr>
            <w:tcW w:w="1220" w:type="dxa"/>
            <w:vAlign w:val="bottom"/>
            <w:gridSpan w:val="2"/>
          </w:tcPr>
          <w:p>
            <w:pPr>
              <w:jc w:val="right"/>
              <w:ind w:right="33"/>
              <w:spacing w:after="0" w:line="198" w:lineRule="exact"/>
              <w:rPr>
                <w:sz w:val="20"/>
                <w:szCs w:val="20"/>
                <w:color w:val="auto"/>
              </w:rPr>
            </w:pPr>
            <w:r>
              <w:rPr>
                <w:rFonts w:ascii="Times New Roman" w:cs="Times New Roman" w:eastAsia="Times New Roman" w:hAnsi="Times New Roman"/>
                <w:sz w:val="18"/>
                <w:szCs w:val="18"/>
                <w:color w:val="auto"/>
              </w:rPr>
              <w:t>167,609,33</w:t>
            </w:r>
          </w:p>
        </w:tc>
        <w:tc>
          <w:tcPr>
            <w:tcW w:w="90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165,04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165,040</w:t>
            </w:r>
          </w:p>
        </w:tc>
      </w:tr>
      <w:tr>
        <w:trPr>
          <w:trHeight w:val="234"/>
        </w:trPr>
        <w:tc>
          <w:tcPr>
            <w:tcW w:w="512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8,720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8,720</w:t>
            </w:r>
          </w:p>
        </w:tc>
        <w:tc>
          <w:tcPr>
            <w:tcW w:w="12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0,389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w:t>
            </w:r>
          </w:p>
        </w:tc>
      </w:tr>
      <w:tr>
        <w:trPr>
          <w:trHeight w:val="743"/>
        </w:trPr>
        <w:tc>
          <w:tcPr>
            <w:tcW w:w="5120" w:type="dxa"/>
            <w:vAlign w:val="bottom"/>
          </w:tcPr>
          <w:p>
            <w:pPr>
              <w:spacing w:after="0"/>
              <w:rPr>
                <w:sz w:val="24"/>
                <w:szCs w:val="24"/>
                <w:color w:val="auto"/>
              </w:rPr>
            </w:pPr>
          </w:p>
        </w:tc>
        <w:tc>
          <w:tcPr>
            <w:tcW w:w="114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763"/>
        </w:trPr>
        <w:tc>
          <w:tcPr>
            <w:tcW w:w="5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-3908425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-3891280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-3908425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-3891280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-3908425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-3891280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-3908425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-3891280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-3908425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-3891280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-2510790</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-2510790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-2510790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-2510790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-2510790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2024-11-20T05:12:21Z</dcterms:created>
  <dcterms:modified xsi:type="dcterms:W3CDTF">2024-11-20T05:12:21Z</dcterms:modified>
</cp:coreProperties>
</file>