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1"/>
          <w:szCs w:val="21"/>
          <w:b w:val="1"/>
          <w:bCs w:val="1"/>
          <w:color w:val="auto"/>
        </w:rPr>
        <w:t>SECURITIES AND EXCHANGE COMMISSION</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SCHEDULE 13G</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 w:lineRule="exact"/>
        <w:rPr>
          <w:sz w:val="24"/>
          <w:szCs w:val="24"/>
          <w:color w:val="auto"/>
        </w:rPr>
      </w:pPr>
    </w:p>
    <w:p>
      <w:pPr>
        <w:jc w:val="center"/>
        <w:ind w:right="-39"/>
        <w:spacing w:after="0"/>
        <w:tabs>
          <w:tab w:leader="none" w:pos="200" w:val="left"/>
        </w:tabs>
        <w:rPr>
          <w:sz w:val="20"/>
          <w:szCs w:val="20"/>
          <w:color w:val="auto"/>
        </w:rPr>
      </w:pPr>
      <w:r>
        <w:rPr>
          <w:rFonts w:ascii="Arial" w:cs="Arial" w:eastAsia="Arial" w:hAnsi="Arial"/>
          <w:sz w:val="18"/>
          <w:szCs w:val="18"/>
          <w:color w:val="auto"/>
        </w:rPr>
        <w:t>(Amendment No.</w:t>
        <w:tab/>
        <w:t>)*</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ATRenew Inc.</w:t>
      </w: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Ordinary shares, $0.001 par value per share</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00138L 108**</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0" w:lineRule="exact"/>
        <w:rPr>
          <w:sz w:val="24"/>
          <w:szCs w:val="24"/>
          <w:color w:val="auto"/>
        </w:rPr>
      </w:pPr>
    </w:p>
    <w:p>
      <w:pPr>
        <w:ind w:left="1140" w:hanging="678"/>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3" w:lineRule="exact"/>
        <w:rPr>
          <w:rFonts w:ascii="MS PGothic" w:cs="MS PGothic" w:eastAsia="MS PGothic" w:hAnsi="MS PGothic"/>
          <w:sz w:val="18"/>
          <w:szCs w:val="18"/>
          <w:color w:val="auto"/>
        </w:rPr>
      </w:pPr>
    </w:p>
    <w:p>
      <w:pPr>
        <w:ind w:left="1140" w:hanging="678"/>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4" w:lineRule="exact"/>
        <w:rPr>
          <w:sz w:val="24"/>
          <w:szCs w:val="24"/>
          <w:color w:val="auto"/>
        </w:rPr>
      </w:pPr>
    </w:p>
    <w:p>
      <w:pPr>
        <w:ind w:left="1140" w:hanging="678"/>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4" w:lineRule="exact"/>
        <w:rPr>
          <w:sz w:val="24"/>
          <w:szCs w:val="24"/>
          <w:color w:val="auto"/>
        </w:rPr>
      </w:pPr>
    </w:p>
    <w:p>
      <w:pPr>
        <w:ind w:right="160"/>
        <w:spacing w:after="0" w:line="27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5" w:lineRule="exact"/>
        <w:rPr>
          <w:sz w:val="24"/>
          <w:szCs w:val="24"/>
          <w:color w:val="auto"/>
        </w:rPr>
      </w:pPr>
    </w:p>
    <w:p>
      <w:pPr>
        <w:jc w:val="both"/>
        <w:ind w:right="580" w:firstLine="7"/>
        <w:spacing w:after="0" w:line="259" w:lineRule="auto"/>
        <w:tabs>
          <w:tab w:leader="none" w:pos="223"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CUSIP number 00138L 108 has been assigned to the American depositary shares (“ADS”) of the issuer, which are quoted on the New York Stock Exchange under the symbol “RERE.” Every three ADSs represent two Class A ordinary shares of the issuer. No CUSIP number has been assigned to ordinary shares of the issuer.</w:t>
      </w:r>
    </w:p>
    <w:p>
      <w:pPr>
        <w:spacing w:after="0" w:line="213" w:lineRule="exact"/>
        <w:rPr>
          <w:sz w:val="24"/>
          <w:szCs w:val="24"/>
          <w:color w:val="auto"/>
        </w:rPr>
      </w:pPr>
    </w:p>
    <w:p>
      <w:pPr>
        <w:spacing w:after="0" w:line="335"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527685</wp:posOffset>
            </wp:positionV>
            <wp:extent cx="717613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687"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34"/>
        </w:trPr>
        <w:tc>
          <w:tcPr>
            <w:tcW w:w="2160" w:type="dxa"/>
            <w:vAlign w:val="bottom"/>
            <w:tcBorders>
              <w:top w:val="single" w:sz="8" w:color="auto"/>
              <w:left w:val="single" w:sz="8" w:color="auto"/>
            </w:tcBorders>
            <w:gridSpan w:val="3"/>
          </w:tcPr>
          <w:p>
            <w:pPr>
              <w:ind w:left="80"/>
              <w:spacing w:after="0"/>
              <w:rPr>
                <w:sz w:val="20"/>
                <w:szCs w:val="20"/>
                <w:color w:val="auto"/>
              </w:rPr>
            </w:pPr>
            <w:r>
              <w:rPr>
                <w:rFonts w:ascii="Arial" w:cs="Arial" w:eastAsia="Arial" w:hAnsi="Arial"/>
                <w:sz w:val="18"/>
                <w:szCs w:val="18"/>
                <w:color w:val="auto"/>
              </w:rPr>
              <w:t>CUSIP No. 00138L 108</w:t>
            </w:r>
          </w:p>
        </w:tc>
        <w:tc>
          <w:tcPr>
            <w:tcW w:w="1620" w:type="dxa"/>
            <w:vAlign w:val="bottom"/>
            <w:tcBorders>
              <w:top w:val="single" w:sz="8" w:color="auto"/>
              <w:right w:val="single" w:sz="8" w:color="auto"/>
            </w:tcBorders>
          </w:tcPr>
          <w:p>
            <w:pPr>
              <w:spacing w:after="0"/>
              <w:rPr>
                <w:sz w:val="24"/>
                <w:szCs w:val="24"/>
                <w:color w:val="auto"/>
              </w:rPr>
            </w:pPr>
          </w:p>
        </w:tc>
        <w:tc>
          <w:tcPr>
            <w:tcW w:w="3760" w:type="dxa"/>
            <w:vAlign w:val="bottom"/>
            <w:tcBorders>
              <w:top w:val="single" w:sz="8" w:color="auto"/>
              <w:right w:val="single" w:sz="8" w:color="auto"/>
            </w:tcBorders>
          </w:tcPr>
          <w:p>
            <w:pPr>
              <w:spacing w:after="0"/>
              <w:rPr>
                <w:sz w:val="24"/>
                <w:szCs w:val="24"/>
                <w:color w:val="auto"/>
              </w:rPr>
            </w:pPr>
          </w:p>
        </w:tc>
        <w:tc>
          <w:tcPr>
            <w:tcW w:w="3740" w:type="dxa"/>
            <w:vAlign w:val="bottom"/>
            <w:tcBorders>
              <w:top w:val="single" w:sz="8" w:color="auto"/>
              <w:right w:val="single" w:sz="8" w:color="auto"/>
            </w:tcBorders>
            <w:gridSpan w:val="2"/>
          </w:tcPr>
          <w:p>
            <w:pPr>
              <w:ind w:left="2920"/>
              <w:spacing w:after="0"/>
              <w:rPr>
                <w:sz w:val="20"/>
                <w:szCs w:val="20"/>
                <w:color w:val="auto"/>
              </w:rPr>
            </w:pPr>
            <w:r>
              <w:rPr>
                <w:rFonts w:ascii="Arial" w:cs="Arial" w:eastAsia="Arial" w:hAnsi="Arial"/>
                <w:sz w:val="18"/>
                <w:szCs w:val="18"/>
                <w:color w:val="auto"/>
                <w:w w:val="84"/>
              </w:rPr>
              <w:t>Page 1 of 5</w:t>
            </w:r>
          </w:p>
        </w:tc>
        <w:tc>
          <w:tcPr>
            <w:tcW w:w="0" w:type="dxa"/>
            <w:vAlign w:val="bottom"/>
          </w:tcPr>
          <w:p>
            <w:pPr>
              <w:spacing w:after="0"/>
              <w:rPr>
                <w:sz w:val="1"/>
                <w:szCs w:val="1"/>
                <w:color w:val="auto"/>
              </w:rPr>
            </w:pPr>
          </w:p>
        </w:tc>
      </w:tr>
      <w:tr>
        <w:trPr>
          <w:trHeight w:val="602"/>
        </w:trPr>
        <w:tc>
          <w:tcPr>
            <w:tcW w:w="980" w:type="dxa"/>
            <w:vAlign w:val="bottom"/>
          </w:tcPr>
          <w:p>
            <w:pPr>
              <w:spacing w:after="0"/>
              <w:rPr>
                <w:sz w:val="24"/>
                <w:szCs w:val="24"/>
                <w:color w:val="auto"/>
              </w:rPr>
            </w:pPr>
          </w:p>
        </w:tc>
        <w:tc>
          <w:tcPr>
            <w:tcW w:w="1026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w:t>
            </w:r>
          </w:p>
        </w:tc>
        <w:tc>
          <w:tcPr>
            <w:tcW w:w="10260" w:type="dxa"/>
            <w:vAlign w:val="bottom"/>
            <w:tcBorders>
              <w:top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Name of Reporting Person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980" w:type="dxa"/>
            <w:vAlign w:val="bottom"/>
            <w:tcBorders>
              <w:left w:val="single" w:sz="8" w:color="auto"/>
              <w:right w:val="single" w:sz="8" w:color="auto"/>
            </w:tcBorders>
          </w:tcPr>
          <w:p>
            <w:pPr>
              <w:spacing w:after="0"/>
              <w:rPr>
                <w:sz w:val="24"/>
                <w:szCs w:val="24"/>
                <w:color w:val="auto"/>
              </w:rPr>
            </w:pPr>
          </w:p>
        </w:tc>
        <w:tc>
          <w:tcPr>
            <w:tcW w:w="1026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Kerry Xuefeng Chen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5"/>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9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2</w:t>
            </w:r>
          </w:p>
        </w:tc>
        <w:tc>
          <w:tcPr>
            <w:tcW w:w="1026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980" w:type="dxa"/>
            <w:vAlign w:val="bottom"/>
            <w:tcBorders>
              <w:left w:val="single" w:sz="8" w:color="auto"/>
              <w:right w:val="single" w:sz="8" w:color="auto"/>
            </w:tcBorders>
          </w:tcPr>
          <w:p>
            <w:pPr>
              <w:spacing w:after="0"/>
              <w:rPr>
                <w:sz w:val="24"/>
                <w:szCs w:val="24"/>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(a)</w:t>
            </w:r>
          </w:p>
        </w:tc>
        <w:tc>
          <w:tcPr>
            <w:tcW w:w="600" w:type="dxa"/>
            <w:vAlign w:val="bottom"/>
          </w:tcPr>
          <w:p>
            <w:pPr>
              <w:jc w:val="right"/>
              <w:ind w:right="251"/>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980" w:type="dxa"/>
            <w:vAlign w:val="bottom"/>
            <w:tcBorders>
              <w:left w:val="single" w:sz="8" w:color="auto"/>
              <w:right w:val="single" w:sz="8" w:color="auto"/>
            </w:tcBorders>
          </w:tcPr>
          <w:p>
            <w:pPr>
              <w:spacing w:after="0"/>
              <w:rPr>
                <w:sz w:val="24"/>
                <w:szCs w:val="24"/>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(b)</w:t>
            </w:r>
          </w:p>
        </w:tc>
        <w:tc>
          <w:tcPr>
            <w:tcW w:w="600" w:type="dxa"/>
            <w:vAlign w:val="bottom"/>
          </w:tcPr>
          <w:p>
            <w:pPr>
              <w:jc w:val="right"/>
              <w:ind w:right="251"/>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980" w:type="dxa"/>
            <w:vAlign w:val="bottom"/>
            <w:tcBorders>
              <w:left w:val="single" w:sz="8" w:color="auto"/>
              <w:bottom w:val="single" w:sz="8" w:color="auto"/>
              <w:right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9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3</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w w:val="94"/>
              </w:rPr>
              <w:t>SEC Use Only</w:t>
            </w:r>
          </w:p>
        </w:tc>
        <w:tc>
          <w:tcPr>
            <w:tcW w:w="16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7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6"/>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10260" w:type="dxa"/>
            <w:vAlign w:val="bottom"/>
            <w:tcBorders>
              <w:bottom w:val="single" w:sz="8" w:color="auto"/>
              <w:right w:val="single" w:sz="8" w:color="auto"/>
            </w:tcBorders>
            <w:gridSpan w:val="5"/>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4</w:t>
            </w:r>
          </w:p>
        </w:tc>
        <w:tc>
          <w:tcPr>
            <w:tcW w:w="1026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980" w:type="dxa"/>
            <w:vAlign w:val="bottom"/>
            <w:tcBorders>
              <w:left w:val="single" w:sz="8" w:color="auto"/>
              <w:right w:val="single" w:sz="8" w:color="auto"/>
            </w:tcBorders>
          </w:tcPr>
          <w:p>
            <w:pPr>
              <w:spacing w:after="0"/>
              <w:rPr>
                <w:sz w:val="24"/>
                <w:szCs w:val="24"/>
                <w:color w:val="auto"/>
              </w:rPr>
            </w:pPr>
          </w:p>
        </w:tc>
        <w:tc>
          <w:tcPr>
            <w:tcW w:w="1026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People’s Republic of China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gridSpan w:val="3"/>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980" w:type="dxa"/>
            <w:vAlign w:val="bottom"/>
            <w:tcBorders>
              <w:left w:val="single" w:sz="8" w:color="auto"/>
            </w:tcBorders>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600" w:type="dxa"/>
            <w:vAlign w:val="bottom"/>
            <w:tcBorders>
              <w:right w:val="single" w:sz="8" w:color="auto"/>
            </w:tcBorders>
          </w:tcPr>
          <w:p>
            <w:pPr>
              <w:jc w:val="right"/>
              <w:ind w:right="391"/>
              <w:spacing w:after="0"/>
              <w:rPr>
                <w:sz w:val="20"/>
                <w:szCs w:val="20"/>
                <w:color w:val="auto"/>
              </w:rPr>
            </w:pPr>
            <w:r>
              <w:rPr>
                <w:rFonts w:ascii="Arial" w:cs="Arial" w:eastAsia="Arial" w:hAnsi="Arial"/>
                <w:sz w:val="18"/>
                <w:szCs w:val="18"/>
                <w:color w:val="auto"/>
                <w:w w:val="99"/>
              </w:rPr>
              <w:t>5</w:t>
            </w:r>
          </w:p>
        </w:tc>
        <w:tc>
          <w:tcPr>
            <w:tcW w:w="90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Sole Voting Power</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9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Number of</w:t>
            </w:r>
          </w:p>
        </w:tc>
        <w:tc>
          <w:tcPr>
            <w:tcW w:w="58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15,730,369</w:t>
            </w:r>
          </w:p>
        </w:tc>
        <w:tc>
          <w:tcPr>
            <w:tcW w:w="376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Shares</w:t>
            </w:r>
          </w:p>
        </w:tc>
        <w:tc>
          <w:tcPr>
            <w:tcW w:w="580" w:type="dxa"/>
            <w:vAlign w:val="bottom"/>
            <w:tcBorders>
              <w:right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0" w:type="dxa"/>
            <w:vAlign w:val="bottom"/>
            <w:tcBorders>
              <w:left w:val="single" w:sz="8" w:color="auto"/>
            </w:tcBorders>
            <w:vMerge w:val="continue"/>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vMerge w:val="restart"/>
          </w:tcPr>
          <w:p>
            <w:pPr>
              <w:jc w:val="right"/>
              <w:ind w:right="391"/>
              <w:spacing w:after="0"/>
              <w:rPr>
                <w:sz w:val="20"/>
                <w:szCs w:val="20"/>
                <w:color w:val="auto"/>
              </w:rPr>
            </w:pPr>
            <w:r>
              <w:rPr>
                <w:rFonts w:ascii="Arial" w:cs="Arial" w:eastAsia="Arial" w:hAnsi="Arial"/>
                <w:sz w:val="18"/>
                <w:szCs w:val="18"/>
                <w:color w:val="auto"/>
                <w:w w:val="99"/>
              </w:rPr>
              <w:t>6</w:t>
            </w:r>
          </w:p>
        </w:tc>
        <w:tc>
          <w:tcPr>
            <w:tcW w:w="908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9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w w:val="94"/>
              </w:rPr>
              <w:t>Beneficially</w:t>
            </w:r>
          </w:p>
        </w:tc>
        <w:tc>
          <w:tcPr>
            <w:tcW w:w="58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vMerge w:val="continue"/>
          </w:tcPr>
          <w:p>
            <w:pPr>
              <w:spacing w:after="0"/>
              <w:rPr>
                <w:sz w:val="10"/>
                <w:szCs w:val="10"/>
                <w:color w:val="auto"/>
              </w:rPr>
            </w:pPr>
          </w:p>
        </w:tc>
        <w:tc>
          <w:tcPr>
            <w:tcW w:w="9080" w:type="dxa"/>
            <w:vAlign w:val="bottom"/>
            <w:tcBorders>
              <w:right w:val="single" w:sz="8" w:color="auto"/>
            </w:tcBorders>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980" w:type="dxa"/>
            <w:vAlign w:val="bottom"/>
            <w:tcBorders>
              <w:left w:val="single" w:sz="8" w:color="auto"/>
            </w:tcBorders>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7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Owned by</w:t>
            </w: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0</w:t>
            </w:r>
          </w:p>
        </w:tc>
        <w:tc>
          <w:tcPr>
            <w:tcW w:w="376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9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Each</w:t>
            </w:r>
          </w:p>
        </w:tc>
        <w:tc>
          <w:tcPr>
            <w:tcW w:w="580" w:type="dxa"/>
            <w:vAlign w:val="bottom"/>
            <w:tcBorders>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760" w:type="dxa"/>
            <w:vAlign w:val="bottom"/>
            <w:tcBorders>
              <w:bottom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980" w:type="dxa"/>
            <w:vAlign w:val="bottom"/>
            <w:tcBorders>
              <w:left w:val="single" w:sz="8" w:color="auto"/>
            </w:tcBorders>
            <w:vMerge w:val="continue"/>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vMerge w:val="restart"/>
          </w:tcPr>
          <w:p>
            <w:pPr>
              <w:jc w:val="right"/>
              <w:ind w:right="391"/>
              <w:spacing w:after="0"/>
              <w:rPr>
                <w:sz w:val="20"/>
                <w:szCs w:val="20"/>
                <w:color w:val="auto"/>
              </w:rPr>
            </w:pPr>
            <w:r>
              <w:rPr>
                <w:rFonts w:ascii="Arial" w:cs="Arial" w:eastAsia="Arial" w:hAnsi="Arial"/>
                <w:sz w:val="18"/>
                <w:szCs w:val="18"/>
                <w:color w:val="auto"/>
                <w:w w:val="99"/>
              </w:rPr>
              <w:t>7</w:t>
            </w:r>
          </w:p>
        </w:tc>
        <w:tc>
          <w:tcPr>
            <w:tcW w:w="908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9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Reporting</w:t>
            </w:r>
          </w:p>
        </w:tc>
        <w:tc>
          <w:tcPr>
            <w:tcW w:w="5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vMerge w:val="continue"/>
          </w:tcPr>
          <w:p>
            <w:pPr>
              <w:spacing w:after="0"/>
              <w:rPr>
                <w:sz w:val="11"/>
                <w:szCs w:val="11"/>
                <w:color w:val="auto"/>
              </w:rPr>
            </w:pPr>
          </w:p>
        </w:tc>
        <w:tc>
          <w:tcPr>
            <w:tcW w:w="9080" w:type="dxa"/>
            <w:vAlign w:val="bottom"/>
            <w:tcBorders>
              <w:right w:val="single" w:sz="8" w:color="auto"/>
            </w:tcBorders>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9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7"/>
              </w:rPr>
              <w:t>Person With</w:t>
            </w:r>
          </w:p>
        </w:tc>
        <w:tc>
          <w:tcPr>
            <w:tcW w:w="580" w:type="dxa"/>
            <w:vAlign w:val="bottom"/>
            <w:tcBorders>
              <w:righ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15,730,369</w:t>
            </w:r>
          </w:p>
        </w:tc>
        <w:tc>
          <w:tcPr>
            <w:tcW w:w="376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980" w:type="dxa"/>
            <w:vAlign w:val="bottom"/>
            <w:tcBorders>
              <w:left w:val="single" w:sz="8" w:color="auto"/>
            </w:tcBorders>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gridSpan w:val="3"/>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980" w:type="dxa"/>
            <w:vAlign w:val="bottom"/>
            <w:tcBorders>
              <w:left w:val="single" w:sz="8" w:color="auto"/>
            </w:tcBorders>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600" w:type="dxa"/>
            <w:vAlign w:val="bottom"/>
            <w:tcBorders>
              <w:right w:val="single" w:sz="8" w:color="auto"/>
            </w:tcBorders>
          </w:tcPr>
          <w:p>
            <w:pPr>
              <w:jc w:val="right"/>
              <w:ind w:right="391"/>
              <w:spacing w:after="0"/>
              <w:rPr>
                <w:sz w:val="20"/>
                <w:szCs w:val="20"/>
                <w:color w:val="auto"/>
              </w:rPr>
            </w:pPr>
            <w:r>
              <w:rPr>
                <w:rFonts w:ascii="Arial" w:cs="Arial" w:eastAsia="Arial" w:hAnsi="Arial"/>
                <w:sz w:val="18"/>
                <w:szCs w:val="18"/>
                <w:color w:val="auto"/>
                <w:w w:val="99"/>
              </w:rPr>
              <w:t>8</w:t>
            </w:r>
          </w:p>
        </w:tc>
        <w:tc>
          <w:tcPr>
            <w:tcW w:w="90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Shared Dispositive Power</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98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0</w:t>
            </w:r>
          </w:p>
        </w:tc>
        <w:tc>
          <w:tcPr>
            <w:tcW w:w="376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980" w:type="dxa"/>
            <w:vAlign w:val="bottom"/>
            <w:tcBorders>
              <w:left w:val="single" w:sz="8" w:color="auto"/>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gridSpan w:val="3"/>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9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9</w:t>
            </w:r>
          </w:p>
        </w:tc>
        <w:tc>
          <w:tcPr>
            <w:tcW w:w="1026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98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jc w:val="right"/>
              <w:ind w:right="251"/>
              <w:spacing w:after="0"/>
              <w:rPr>
                <w:sz w:val="20"/>
                <w:szCs w:val="20"/>
                <w:color w:val="auto"/>
              </w:rPr>
            </w:pPr>
            <w:r>
              <w:rPr>
                <w:rFonts w:ascii="Arial" w:cs="Arial" w:eastAsia="Arial" w:hAnsi="Arial"/>
                <w:sz w:val="18"/>
                <w:szCs w:val="18"/>
                <w:color w:val="auto"/>
                <w:w w:val="90"/>
              </w:rPr>
              <w:t>15,730,369</w:t>
            </w:r>
          </w:p>
        </w:tc>
        <w:tc>
          <w:tcPr>
            <w:tcW w:w="16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gridSpan w:val="3"/>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9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10</w:t>
            </w:r>
          </w:p>
        </w:tc>
        <w:tc>
          <w:tcPr>
            <w:tcW w:w="10260" w:type="dxa"/>
            <w:vAlign w:val="bottom"/>
            <w:tcBorders>
              <w:right w:val="single" w:sz="8" w:color="auto"/>
            </w:tcBorders>
            <w:gridSpan w:val="5"/>
          </w:tcPr>
          <w:p>
            <w:pPr>
              <w:ind w:left="4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gridSpan w:val="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11</w:t>
            </w:r>
          </w:p>
        </w:tc>
        <w:tc>
          <w:tcPr>
            <w:tcW w:w="1026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98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5"/>
                <w:szCs w:val="15"/>
                <w:color w:val="auto"/>
              </w:rPr>
              <w:t>(1)</w:t>
            </w:r>
          </w:p>
        </w:tc>
        <w:tc>
          <w:tcPr>
            <w:tcW w:w="16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gridSpan w:val="3"/>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9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12</w:t>
            </w:r>
          </w:p>
        </w:tc>
        <w:tc>
          <w:tcPr>
            <w:tcW w:w="1026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980" w:type="dxa"/>
            <w:vAlign w:val="bottom"/>
            <w:tcBorders>
              <w:left w:val="single" w:sz="8" w:color="auto"/>
              <w:right w:val="single" w:sz="8" w:color="auto"/>
            </w:tcBorders>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IN</w:t>
            </w:r>
          </w:p>
        </w:tc>
        <w:tc>
          <w:tcPr>
            <w:tcW w:w="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w:t>
      </w:r>
    </w:p>
    <w:p>
      <w:pPr>
        <w:spacing w:after="0" w:line="6" w:lineRule="exact"/>
        <w:rPr>
          <w:sz w:val="20"/>
          <w:szCs w:val="20"/>
          <w:color w:val="auto"/>
        </w:rPr>
      </w:pPr>
    </w:p>
    <w:p>
      <w:pPr>
        <w:ind w:left="760" w:right="40" w:hanging="753"/>
        <w:spacing w:after="0" w:line="256"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based on a total of 150,943,816 outstanding ordinary shares (excluding 8,437,683 Class A ordinary shares issued to depositary bank for the purpose of bulk issuance)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412750</wp:posOffset>
            </wp:positionV>
            <wp:extent cx="717613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80"/>
          </w:cols>
          <w:pgMar w:left="320" w:top="120" w:right="29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34"/>
        </w:trPr>
        <w:tc>
          <w:tcPr>
            <w:tcW w:w="2160" w:type="dxa"/>
            <w:vAlign w:val="bottom"/>
            <w:tcBorders>
              <w:top w:val="single" w:sz="8" w:color="auto"/>
              <w:left w:val="single" w:sz="8" w:color="auto"/>
            </w:tcBorders>
            <w:gridSpan w:val="3"/>
          </w:tcPr>
          <w:p>
            <w:pPr>
              <w:ind w:left="80"/>
              <w:spacing w:after="0"/>
              <w:rPr>
                <w:sz w:val="20"/>
                <w:szCs w:val="20"/>
                <w:color w:val="auto"/>
              </w:rPr>
            </w:pPr>
            <w:r>
              <w:rPr>
                <w:rFonts w:ascii="Arial" w:cs="Arial" w:eastAsia="Arial" w:hAnsi="Arial"/>
                <w:sz w:val="18"/>
                <w:szCs w:val="18"/>
                <w:color w:val="auto"/>
              </w:rPr>
              <w:t>CUSIP No. 00138L 108</w:t>
            </w:r>
          </w:p>
        </w:tc>
        <w:tc>
          <w:tcPr>
            <w:tcW w:w="1620" w:type="dxa"/>
            <w:vAlign w:val="bottom"/>
            <w:tcBorders>
              <w:top w:val="single" w:sz="8" w:color="auto"/>
              <w:right w:val="single" w:sz="8" w:color="auto"/>
            </w:tcBorders>
          </w:tcPr>
          <w:p>
            <w:pPr>
              <w:spacing w:after="0"/>
              <w:rPr>
                <w:sz w:val="24"/>
                <w:szCs w:val="24"/>
                <w:color w:val="auto"/>
              </w:rPr>
            </w:pPr>
          </w:p>
        </w:tc>
        <w:tc>
          <w:tcPr>
            <w:tcW w:w="3760" w:type="dxa"/>
            <w:vAlign w:val="bottom"/>
            <w:tcBorders>
              <w:top w:val="single" w:sz="8" w:color="auto"/>
              <w:right w:val="single" w:sz="8" w:color="auto"/>
            </w:tcBorders>
          </w:tcPr>
          <w:p>
            <w:pPr>
              <w:spacing w:after="0"/>
              <w:rPr>
                <w:sz w:val="24"/>
                <w:szCs w:val="24"/>
                <w:color w:val="auto"/>
              </w:rPr>
            </w:pPr>
          </w:p>
        </w:tc>
        <w:tc>
          <w:tcPr>
            <w:tcW w:w="3740" w:type="dxa"/>
            <w:vAlign w:val="bottom"/>
            <w:tcBorders>
              <w:top w:val="single" w:sz="8" w:color="auto"/>
              <w:right w:val="single" w:sz="8" w:color="auto"/>
            </w:tcBorders>
            <w:gridSpan w:val="2"/>
          </w:tcPr>
          <w:p>
            <w:pPr>
              <w:ind w:left="2920"/>
              <w:spacing w:after="0"/>
              <w:rPr>
                <w:sz w:val="20"/>
                <w:szCs w:val="20"/>
                <w:color w:val="auto"/>
              </w:rPr>
            </w:pPr>
            <w:r>
              <w:rPr>
                <w:rFonts w:ascii="Arial" w:cs="Arial" w:eastAsia="Arial" w:hAnsi="Arial"/>
                <w:sz w:val="18"/>
                <w:szCs w:val="18"/>
                <w:color w:val="auto"/>
                <w:w w:val="84"/>
              </w:rPr>
              <w:t>Page 2 of 5</w:t>
            </w:r>
          </w:p>
        </w:tc>
        <w:tc>
          <w:tcPr>
            <w:tcW w:w="0" w:type="dxa"/>
            <w:vAlign w:val="bottom"/>
          </w:tcPr>
          <w:p>
            <w:pPr>
              <w:spacing w:after="0"/>
              <w:rPr>
                <w:sz w:val="1"/>
                <w:szCs w:val="1"/>
                <w:color w:val="auto"/>
              </w:rPr>
            </w:pPr>
          </w:p>
        </w:tc>
      </w:tr>
      <w:tr>
        <w:trPr>
          <w:trHeight w:val="602"/>
        </w:trPr>
        <w:tc>
          <w:tcPr>
            <w:tcW w:w="980" w:type="dxa"/>
            <w:vAlign w:val="bottom"/>
          </w:tcPr>
          <w:p>
            <w:pPr>
              <w:spacing w:after="0"/>
              <w:rPr>
                <w:sz w:val="24"/>
                <w:szCs w:val="24"/>
                <w:color w:val="auto"/>
              </w:rPr>
            </w:pPr>
          </w:p>
        </w:tc>
        <w:tc>
          <w:tcPr>
            <w:tcW w:w="1026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w:t>
            </w:r>
          </w:p>
        </w:tc>
        <w:tc>
          <w:tcPr>
            <w:tcW w:w="10260" w:type="dxa"/>
            <w:vAlign w:val="bottom"/>
            <w:tcBorders>
              <w:top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Name of Reporting Person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980" w:type="dxa"/>
            <w:vAlign w:val="bottom"/>
            <w:tcBorders>
              <w:left w:val="single" w:sz="8" w:color="auto"/>
              <w:right w:val="single" w:sz="8" w:color="auto"/>
            </w:tcBorders>
          </w:tcPr>
          <w:p>
            <w:pPr>
              <w:spacing w:after="0"/>
              <w:rPr>
                <w:sz w:val="24"/>
                <w:szCs w:val="24"/>
                <w:color w:val="auto"/>
              </w:rPr>
            </w:pPr>
          </w:p>
        </w:tc>
        <w:tc>
          <w:tcPr>
            <w:tcW w:w="1026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C&amp;XF Group Limited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5"/>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9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2</w:t>
            </w:r>
          </w:p>
        </w:tc>
        <w:tc>
          <w:tcPr>
            <w:tcW w:w="1026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980" w:type="dxa"/>
            <w:vAlign w:val="bottom"/>
            <w:tcBorders>
              <w:left w:val="single" w:sz="8" w:color="auto"/>
              <w:right w:val="single" w:sz="8" w:color="auto"/>
            </w:tcBorders>
          </w:tcPr>
          <w:p>
            <w:pPr>
              <w:spacing w:after="0"/>
              <w:rPr>
                <w:sz w:val="24"/>
                <w:szCs w:val="24"/>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(a)</w:t>
            </w:r>
          </w:p>
        </w:tc>
        <w:tc>
          <w:tcPr>
            <w:tcW w:w="600" w:type="dxa"/>
            <w:vAlign w:val="bottom"/>
          </w:tcPr>
          <w:p>
            <w:pPr>
              <w:jc w:val="right"/>
              <w:ind w:right="251"/>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980" w:type="dxa"/>
            <w:vAlign w:val="bottom"/>
            <w:tcBorders>
              <w:left w:val="single" w:sz="8" w:color="auto"/>
              <w:right w:val="single" w:sz="8" w:color="auto"/>
            </w:tcBorders>
          </w:tcPr>
          <w:p>
            <w:pPr>
              <w:spacing w:after="0"/>
              <w:rPr>
                <w:sz w:val="24"/>
                <w:szCs w:val="24"/>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(b)</w:t>
            </w:r>
          </w:p>
        </w:tc>
        <w:tc>
          <w:tcPr>
            <w:tcW w:w="600" w:type="dxa"/>
            <w:vAlign w:val="bottom"/>
          </w:tcPr>
          <w:p>
            <w:pPr>
              <w:jc w:val="right"/>
              <w:ind w:right="251"/>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980" w:type="dxa"/>
            <w:vAlign w:val="bottom"/>
            <w:tcBorders>
              <w:left w:val="single" w:sz="8" w:color="auto"/>
              <w:bottom w:val="single" w:sz="8" w:color="auto"/>
              <w:right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9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3</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w w:val="94"/>
              </w:rPr>
              <w:t>SEC Use Only</w:t>
            </w:r>
          </w:p>
        </w:tc>
        <w:tc>
          <w:tcPr>
            <w:tcW w:w="16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7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6"/>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10260" w:type="dxa"/>
            <w:vAlign w:val="bottom"/>
            <w:tcBorders>
              <w:bottom w:val="single" w:sz="8" w:color="auto"/>
              <w:right w:val="single" w:sz="8" w:color="auto"/>
            </w:tcBorders>
            <w:gridSpan w:val="5"/>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4</w:t>
            </w:r>
          </w:p>
        </w:tc>
        <w:tc>
          <w:tcPr>
            <w:tcW w:w="1026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980" w:type="dxa"/>
            <w:vAlign w:val="bottom"/>
            <w:tcBorders>
              <w:left w:val="single" w:sz="8" w:color="auto"/>
              <w:right w:val="single" w:sz="8" w:color="auto"/>
            </w:tcBorders>
          </w:tcPr>
          <w:p>
            <w:pPr>
              <w:spacing w:after="0"/>
              <w:rPr>
                <w:sz w:val="24"/>
                <w:szCs w:val="24"/>
                <w:color w:val="auto"/>
              </w:rPr>
            </w:pPr>
          </w:p>
        </w:tc>
        <w:tc>
          <w:tcPr>
            <w:tcW w:w="1026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British Virgin Islands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gridSpan w:val="3"/>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980" w:type="dxa"/>
            <w:vAlign w:val="bottom"/>
            <w:tcBorders>
              <w:left w:val="single" w:sz="8" w:color="auto"/>
            </w:tcBorders>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600" w:type="dxa"/>
            <w:vAlign w:val="bottom"/>
            <w:tcBorders>
              <w:right w:val="single" w:sz="8" w:color="auto"/>
            </w:tcBorders>
          </w:tcPr>
          <w:p>
            <w:pPr>
              <w:jc w:val="right"/>
              <w:ind w:right="391"/>
              <w:spacing w:after="0"/>
              <w:rPr>
                <w:sz w:val="20"/>
                <w:szCs w:val="20"/>
                <w:color w:val="auto"/>
              </w:rPr>
            </w:pPr>
            <w:r>
              <w:rPr>
                <w:rFonts w:ascii="Arial" w:cs="Arial" w:eastAsia="Arial" w:hAnsi="Arial"/>
                <w:sz w:val="18"/>
                <w:szCs w:val="18"/>
                <w:color w:val="auto"/>
                <w:w w:val="99"/>
              </w:rPr>
              <w:t>5</w:t>
            </w:r>
          </w:p>
        </w:tc>
        <w:tc>
          <w:tcPr>
            <w:tcW w:w="90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Sole Voting Power</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9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Number of</w:t>
            </w:r>
          </w:p>
        </w:tc>
        <w:tc>
          <w:tcPr>
            <w:tcW w:w="58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11,287,336</w:t>
            </w:r>
          </w:p>
        </w:tc>
        <w:tc>
          <w:tcPr>
            <w:tcW w:w="376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Shares</w:t>
            </w:r>
          </w:p>
        </w:tc>
        <w:tc>
          <w:tcPr>
            <w:tcW w:w="580" w:type="dxa"/>
            <w:vAlign w:val="bottom"/>
            <w:tcBorders>
              <w:right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0" w:type="dxa"/>
            <w:vAlign w:val="bottom"/>
            <w:tcBorders>
              <w:left w:val="single" w:sz="8" w:color="auto"/>
            </w:tcBorders>
            <w:vMerge w:val="continue"/>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vMerge w:val="restart"/>
          </w:tcPr>
          <w:p>
            <w:pPr>
              <w:jc w:val="right"/>
              <w:ind w:right="391"/>
              <w:spacing w:after="0"/>
              <w:rPr>
                <w:sz w:val="20"/>
                <w:szCs w:val="20"/>
                <w:color w:val="auto"/>
              </w:rPr>
            </w:pPr>
            <w:r>
              <w:rPr>
                <w:rFonts w:ascii="Arial" w:cs="Arial" w:eastAsia="Arial" w:hAnsi="Arial"/>
                <w:sz w:val="18"/>
                <w:szCs w:val="18"/>
                <w:color w:val="auto"/>
                <w:w w:val="99"/>
              </w:rPr>
              <w:t>6</w:t>
            </w:r>
          </w:p>
        </w:tc>
        <w:tc>
          <w:tcPr>
            <w:tcW w:w="908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9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w w:val="94"/>
              </w:rPr>
              <w:t>Beneficially</w:t>
            </w:r>
          </w:p>
        </w:tc>
        <w:tc>
          <w:tcPr>
            <w:tcW w:w="58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vMerge w:val="continue"/>
          </w:tcPr>
          <w:p>
            <w:pPr>
              <w:spacing w:after="0"/>
              <w:rPr>
                <w:sz w:val="10"/>
                <w:szCs w:val="10"/>
                <w:color w:val="auto"/>
              </w:rPr>
            </w:pPr>
          </w:p>
        </w:tc>
        <w:tc>
          <w:tcPr>
            <w:tcW w:w="9080" w:type="dxa"/>
            <w:vAlign w:val="bottom"/>
            <w:tcBorders>
              <w:right w:val="single" w:sz="8" w:color="auto"/>
            </w:tcBorders>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980" w:type="dxa"/>
            <w:vAlign w:val="bottom"/>
            <w:tcBorders>
              <w:left w:val="single" w:sz="8" w:color="auto"/>
            </w:tcBorders>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7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Owned by</w:t>
            </w: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0</w:t>
            </w:r>
          </w:p>
        </w:tc>
        <w:tc>
          <w:tcPr>
            <w:tcW w:w="376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9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Each</w:t>
            </w:r>
          </w:p>
        </w:tc>
        <w:tc>
          <w:tcPr>
            <w:tcW w:w="580" w:type="dxa"/>
            <w:vAlign w:val="bottom"/>
            <w:tcBorders>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760" w:type="dxa"/>
            <w:vAlign w:val="bottom"/>
            <w:tcBorders>
              <w:bottom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980" w:type="dxa"/>
            <w:vAlign w:val="bottom"/>
            <w:tcBorders>
              <w:left w:val="single" w:sz="8" w:color="auto"/>
            </w:tcBorders>
            <w:vMerge w:val="continue"/>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vMerge w:val="restart"/>
          </w:tcPr>
          <w:p>
            <w:pPr>
              <w:jc w:val="right"/>
              <w:ind w:right="391"/>
              <w:spacing w:after="0"/>
              <w:rPr>
                <w:sz w:val="20"/>
                <w:szCs w:val="20"/>
                <w:color w:val="auto"/>
              </w:rPr>
            </w:pPr>
            <w:r>
              <w:rPr>
                <w:rFonts w:ascii="Arial" w:cs="Arial" w:eastAsia="Arial" w:hAnsi="Arial"/>
                <w:sz w:val="18"/>
                <w:szCs w:val="18"/>
                <w:color w:val="auto"/>
                <w:w w:val="99"/>
              </w:rPr>
              <w:t>7</w:t>
            </w:r>
          </w:p>
        </w:tc>
        <w:tc>
          <w:tcPr>
            <w:tcW w:w="908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9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Reporting</w:t>
            </w:r>
          </w:p>
        </w:tc>
        <w:tc>
          <w:tcPr>
            <w:tcW w:w="5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vMerge w:val="continue"/>
          </w:tcPr>
          <w:p>
            <w:pPr>
              <w:spacing w:after="0"/>
              <w:rPr>
                <w:sz w:val="11"/>
                <w:szCs w:val="11"/>
                <w:color w:val="auto"/>
              </w:rPr>
            </w:pPr>
          </w:p>
        </w:tc>
        <w:tc>
          <w:tcPr>
            <w:tcW w:w="9080" w:type="dxa"/>
            <w:vAlign w:val="bottom"/>
            <w:tcBorders>
              <w:right w:val="single" w:sz="8" w:color="auto"/>
            </w:tcBorders>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9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7"/>
              </w:rPr>
              <w:t>Person With</w:t>
            </w:r>
          </w:p>
        </w:tc>
        <w:tc>
          <w:tcPr>
            <w:tcW w:w="580" w:type="dxa"/>
            <w:vAlign w:val="bottom"/>
            <w:tcBorders>
              <w:righ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11,287,336</w:t>
            </w:r>
          </w:p>
        </w:tc>
        <w:tc>
          <w:tcPr>
            <w:tcW w:w="376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980" w:type="dxa"/>
            <w:vAlign w:val="bottom"/>
            <w:tcBorders>
              <w:left w:val="single" w:sz="8" w:color="auto"/>
            </w:tcBorders>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gridSpan w:val="3"/>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980" w:type="dxa"/>
            <w:vAlign w:val="bottom"/>
            <w:tcBorders>
              <w:left w:val="single" w:sz="8" w:color="auto"/>
            </w:tcBorders>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600" w:type="dxa"/>
            <w:vAlign w:val="bottom"/>
            <w:tcBorders>
              <w:right w:val="single" w:sz="8" w:color="auto"/>
            </w:tcBorders>
          </w:tcPr>
          <w:p>
            <w:pPr>
              <w:jc w:val="right"/>
              <w:ind w:right="391"/>
              <w:spacing w:after="0"/>
              <w:rPr>
                <w:sz w:val="20"/>
                <w:szCs w:val="20"/>
                <w:color w:val="auto"/>
              </w:rPr>
            </w:pPr>
            <w:r>
              <w:rPr>
                <w:rFonts w:ascii="Arial" w:cs="Arial" w:eastAsia="Arial" w:hAnsi="Arial"/>
                <w:sz w:val="18"/>
                <w:szCs w:val="18"/>
                <w:color w:val="auto"/>
                <w:w w:val="99"/>
              </w:rPr>
              <w:t>8</w:t>
            </w:r>
          </w:p>
        </w:tc>
        <w:tc>
          <w:tcPr>
            <w:tcW w:w="90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Shared Dispositive Power</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98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0</w:t>
            </w:r>
          </w:p>
        </w:tc>
        <w:tc>
          <w:tcPr>
            <w:tcW w:w="376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980" w:type="dxa"/>
            <w:vAlign w:val="bottom"/>
            <w:tcBorders>
              <w:left w:val="single" w:sz="8" w:color="auto"/>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gridSpan w:val="3"/>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9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9</w:t>
            </w:r>
          </w:p>
        </w:tc>
        <w:tc>
          <w:tcPr>
            <w:tcW w:w="1026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98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jc w:val="right"/>
              <w:ind w:right="251"/>
              <w:spacing w:after="0"/>
              <w:rPr>
                <w:sz w:val="20"/>
                <w:szCs w:val="20"/>
                <w:color w:val="auto"/>
              </w:rPr>
            </w:pPr>
            <w:r>
              <w:rPr>
                <w:rFonts w:ascii="Arial" w:cs="Arial" w:eastAsia="Arial" w:hAnsi="Arial"/>
                <w:sz w:val="18"/>
                <w:szCs w:val="18"/>
                <w:color w:val="auto"/>
                <w:w w:val="90"/>
              </w:rPr>
              <w:t>11,287,336</w:t>
            </w:r>
          </w:p>
        </w:tc>
        <w:tc>
          <w:tcPr>
            <w:tcW w:w="16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gridSpan w:val="3"/>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9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10</w:t>
            </w:r>
          </w:p>
        </w:tc>
        <w:tc>
          <w:tcPr>
            <w:tcW w:w="10260" w:type="dxa"/>
            <w:vAlign w:val="bottom"/>
            <w:tcBorders>
              <w:right w:val="single" w:sz="8" w:color="auto"/>
            </w:tcBorders>
            <w:gridSpan w:val="5"/>
          </w:tcPr>
          <w:p>
            <w:pPr>
              <w:ind w:left="4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gridSpan w:val="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11</w:t>
            </w:r>
          </w:p>
        </w:tc>
        <w:tc>
          <w:tcPr>
            <w:tcW w:w="1026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98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5"/>
                <w:szCs w:val="15"/>
                <w:color w:val="auto"/>
              </w:rPr>
              <w:t>(2)</w:t>
            </w:r>
          </w:p>
        </w:tc>
        <w:tc>
          <w:tcPr>
            <w:tcW w:w="16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gridSpan w:val="3"/>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9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12</w:t>
            </w:r>
          </w:p>
        </w:tc>
        <w:tc>
          <w:tcPr>
            <w:tcW w:w="1026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980" w:type="dxa"/>
            <w:vAlign w:val="bottom"/>
            <w:tcBorders>
              <w:left w:val="single" w:sz="8" w:color="auto"/>
              <w:right w:val="single" w:sz="8" w:color="auto"/>
            </w:tcBorders>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CO</w:t>
            </w:r>
          </w:p>
        </w:tc>
        <w:tc>
          <w:tcPr>
            <w:tcW w:w="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w:t>
      </w:r>
    </w:p>
    <w:p>
      <w:pPr>
        <w:spacing w:after="0" w:line="6" w:lineRule="exact"/>
        <w:rPr>
          <w:sz w:val="20"/>
          <w:szCs w:val="20"/>
          <w:color w:val="auto"/>
        </w:rPr>
      </w:pPr>
    </w:p>
    <w:p>
      <w:pPr>
        <w:ind w:left="760" w:right="40" w:hanging="753"/>
        <w:spacing w:after="0" w:line="25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based on a total of 150,943,816 outstanding ordinary shares (excluding 8,437,683 Class A ordinary shares issued to depositary bank for the purpose of bulk issuance)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276860</wp:posOffset>
            </wp:positionV>
            <wp:extent cx="717613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80"/>
          </w:cols>
          <w:pgMar w:left="320" w:top="120" w:right="299" w:bottom="1440" w:gutter="0" w:footer="0" w:header="0"/>
        </w:sectPr>
      </w:pPr>
    </w:p>
    <w:bookmarkStart w:id="3" w:name="page4"/>
    <w:bookmarkEnd w:id="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8990" cy="212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212090"/>
                    </a:xfrm>
                    <a:prstGeom prst="rect">
                      <a:avLst/>
                    </a:prstGeom>
                    <a:noFill/>
                  </pic:spPr>
                </pic:pic>
              </a:graphicData>
            </a:graphic>
          </wp:anchor>
        </w:drawing>
        <w:t xml:space="preserve">CUSIP No. 00138L 108                      </w:t>
      </w:r>
      <w:r>
        <w:rPr>
          <w:sz w:val="1"/>
          <w:szCs w:val="1"/>
          <w:color w:val="auto"/>
        </w:rPr>
        <w:drawing>
          <wp:inline distT="0" distB="0" distL="0" distR="0">
            <wp:extent cx="8255" cy="2120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212090"/>
                    </a:xfrm>
                    <a:prstGeom prst="rect">
                      <a:avLst/>
                    </a:prstGeom>
                    <a:noFill/>
                    <a:ln>
                      <a:noFill/>
                    </a:ln>
                  </pic:spPr>
                </pic:pic>
              </a:graphicData>
            </a:graphic>
          </wp:inline>
        </w:drawing>
        <w:drawing>
          <wp:inline distT="0" distB="0" distL="0" distR="0">
            <wp:extent cx="8255" cy="2120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212090"/>
                    </a:xfrm>
                    <a:prstGeom prst="rect">
                      <a:avLst/>
                    </a:prstGeom>
                    <a:noFill/>
                    <a:ln>
                      <a:noFill/>
                    </a:ln>
                  </pic:spPr>
                </pic:pic>
              </a:graphicData>
            </a:graphic>
          </wp:inline>
        </w:drawing>
      </w:r>
      <w:r>
        <w:rPr>
          <w:rFonts w:ascii="Arial" w:cs="Arial" w:eastAsia="Arial" w:hAnsi="Arial"/>
          <w:sz w:val="18"/>
          <w:szCs w:val="18"/>
          <w:color w:val="auto"/>
        </w:rPr>
        <w:t xml:space="preserve">                                Page 3 of 5</w:t>
      </w:r>
    </w:p>
    <w:p>
      <w:pPr>
        <w:sectPr>
          <w:pgSz w:w="11900" w:h="16838" w:orient="portrait"/>
          <w:cols w:equalWidth="0" w:num="1">
            <w:col w:w="11200"/>
          </w:cols>
          <w:pgMar w:left="380" w:top="101" w:right="3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ATRenew Inc. (the “Issuer”)</w:t>
      </w:r>
    </w:p>
    <w:p>
      <w:pPr>
        <w:spacing w:after="0" w:line="31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4"/>
          <w:szCs w:val="14"/>
          <w:b w:val="1"/>
          <w:bCs w:val="1"/>
          <w:color w:val="auto"/>
        </w:rPr>
        <w:t>Address of Issuer’s Principal Executive Offices:</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12th Floor, No. 6 Building, 433 Songhu Road, Shanghai, the People’s Republic of China</w:t>
      </w:r>
    </w:p>
    <w:p>
      <w:pPr>
        <w:spacing w:after="0" w:line="200" w:lineRule="exact"/>
        <w:rPr>
          <w:sz w:val="20"/>
          <w:szCs w:val="20"/>
          <w:color w:val="auto"/>
        </w:rPr>
      </w:pPr>
    </w:p>
    <w:p>
      <w:pPr>
        <w:spacing w:after="0" w:line="21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Kerry Xuefeng Chen and C&amp;XF Group Limited (collectively, the “Reporting Persons”)</w:t>
      </w:r>
    </w:p>
    <w:p>
      <w:pPr>
        <w:spacing w:after="0" w:line="200" w:lineRule="exact"/>
        <w:rPr>
          <w:sz w:val="20"/>
          <w:szCs w:val="20"/>
          <w:color w:val="auto"/>
        </w:rPr>
      </w:pPr>
    </w:p>
    <w:p>
      <w:pPr>
        <w:spacing w:after="0" w:line="3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4"/>
          <w:szCs w:val="14"/>
          <w:b w:val="1"/>
          <w:bCs w:val="1"/>
          <w:color w:val="auto"/>
        </w:rPr>
        <w:t>Address of Principal Business Office or, if none, Residence:</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address of the Reporting Persons is c/o 12th Floor, No. 6 Building, 433 Songhu Road, Shanghai, the People’s Republic of China</w:t>
      </w:r>
    </w:p>
    <w:p>
      <w:pPr>
        <w:spacing w:after="0" w:line="200" w:lineRule="exact"/>
        <w:rPr>
          <w:sz w:val="20"/>
          <w:szCs w:val="20"/>
          <w:color w:val="auto"/>
        </w:rPr>
      </w:pPr>
    </w:p>
    <w:p>
      <w:pPr>
        <w:spacing w:after="0" w:line="34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4" w:lineRule="exact"/>
        <w:rPr>
          <w:sz w:val="20"/>
          <w:szCs w:val="20"/>
          <w:color w:val="auto"/>
        </w:rPr>
      </w:pPr>
    </w:p>
    <w:p>
      <w:pPr>
        <w:ind w:left="1080" w:right="240"/>
        <w:spacing w:after="0" w:line="256" w:lineRule="auto"/>
        <w:rPr>
          <w:sz w:val="20"/>
          <w:szCs w:val="20"/>
          <w:color w:val="auto"/>
        </w:rPr>
      </w:pPr>
      <w:r>
        <w:rPr>
          <w:rFonts w:ascii="Arial" w:cs="Arial" w:eastAsia="Arial" w:hAnsi="Arial"/>
          <w:sz w:val="18"/>
          <w:szCs w:val="18"/>
          <w:color w:val="auto"/>
        </w:rPr>
        <w:t>Kerry Xuefeng Chen is a citizen of the People Republic of China. C&amp;XF Group Limited is a British Virgin Islands company solely owned by Kerry Xuefeng Chen.</w:t>
      </w:r>
    </w:p>
    <w:p>
      <w:pPr>
        <w:spacing w:after="0" w:line="200" w:lineRule="exact"/>
        <w:rPr>
          <w:sz w:val="20"/>
          <w:szCs w:val="20"/>
          <w:color w:val="auto"/>
        </w:rPr>
      </w:pPr>
    </w:p>
    <w:p>
      <w:pPr>
        <w:spacing w:after="0" w:line="30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4"/>
          <w:szCs w:val="14"/>
          <w:b w:val="1"/>
          <w:bCs w:val="1"/>
          <w:color w:val="auto"/>
        </w:rPr>
        <w:t>Title of Class of Securities:</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Ordinary shares, $0.001 par value per share</w:t>
      </w:r>
    </w:p>
    <w:p>
      <w:pPr>
        <w:spacing w:after="0" w:line="208" w:lineRule="exact"/>
        <w:rPr>
          <w:sz w:val="20"/>
          <w:szCs w:val="20"/>
          <w:color w:val="auto"/>
        </w:rPr>
      </w:pPr>
    </w:p>
    <w:p>
      <w:pPr>
        <w:ind w:left="1080" w:right="160"/>
        <w:spacing w:after="0" w:line="293" w:lineRule="auto"/>
        <w:rPr>
          <w:sz w:val="20"/>
          <w:szCs w:val="20"/>
          <w:color w:val="auto"/>
        </w:rPr>
      </w:pPr>
      <w:r>
        <w:rPr>
          <w:rFonts w:ascii="Arial" w:cs="Arial" w:eastAsia="Arial" w:hAnsi="Arial"/>
          <w:sz w:val="16"/>
          <w:szCs w:val="16"/>
          <w:color w:val="auto"/>
        </w:rPr>
        <w:t>The Issuer’s ordinary shares consist of Class A ordinary shares, Class B ordinary shares and Class C ordinary shares. Each holder of Class A ordinary shares is entitled to one vote per share, each holder of Class B ordinary shares is entitled to three votes per share and each holder of Class C ordinary shares is entitled to fifteen votes per share on all matters submitted to them for vote. Class B ordinary shares and Class C ordinary shares are convertible at any time by the holder thereof into Class A ordinary shares on a one-for-one basis. Class A ordinary shares are not convertible into either Class B ordinary shares or Class C ordinary shares under any circumstances.</w:t>
      </w:r>
    </w:p>
    <w:p>
      <w:pPr>
        <w:spacing w:after="0" w:line="200" w:lineRule="exact"/>
        <w:rPr>
          <w:sz w:val="20"/>
          <w:szCs w:val="20"/>
          <w:color w:val="auto"/>
        </w:rPr>
      </w:pPr>
    </w:p>
    <w:p>
      <w:pPr>
        <w:spacing w:after="0" w:line="27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00138L 108</w:t>
      </w:r>
    </w:p>
    <w:p>
      <w:pPr>
        <w:spacing w:after="0" w:line="208" w:lineRule="exact"/>
        <w:rPr>
          <w:sz w:val="20"/>
          <w:szCs w:val="20"/>
          <w:color w:val="auto"/>
        </w:rPr>
      </w:pPr>
    </w:p>
    <w:p>
      <w:pPr>
        <w:ind w:left="1080" w:right="400"/>
        <w:spacing w:after="0" w:line="271" w:lineRule="auto"/>
        <w:rPr>
          <w:sz w:val="20"/>
          <w:szCs w:val="20"/>
          <w:color w:val="auto"/>
        </w:rPr>
      </w:pPr>
      <w:r>
        <w:rPr>
          <w:rFonts w:ascii="Arial" w:cs="Arial" w:eastAsia="Arial" w:hAnsi="Arial"/>
          <w:sz w:val="18"/>
          <w:szCs w:val="18"/>
          <w:color w:val="auto"/>
        </w:rPr>
        <w:t>This CUSIP number applies to the American depositary shares of the Issuer. Every three ADSs represent two Class A ordinary shares of the issuer. No CUSIP number has been assigned to ordinary shares of the issuer.</w:t>
      </w:r>
    </w:p>
    <w:p>
      <w:pPr>
        <w:spacing w:after="0" w:line="38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persons filing is a:</w:t>
      </w:r>
    </w:p>
    <w:p>
      <w:pPr>
        <w:spacing w:after="0" w:line="114" w:lineRule="exact"/>
        <w:rPr>
          <w:sz w:val="20"/>
          <w:szCs w:val="20"/>
          <w:color w:val="auto"/>
        </w:rPr>
      </w:pPr>
    </w:p>
    <w:p>
      <w:pPr>
        <w:ind w:left="1340" w:hanging="256"/>
        <w:spacing w:after="0"/>
        <w:tabs>
          <w:tab w:leader="none" w:pos="1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 Broker or dealer registered under section 15 of the Act (15 U.S.C. 78o);</w:t>
      </w:r>
    </w:p>
    <w:p>
      <w:pPr>
        <w:spacing w:after="0" w:line="23" w:lineRule="exact"/>
        <w:rPr>
          <w:rFonts w:ascii="Arial" w:cs="Arial" w:eastAsia="Arial" w:hAnsi="Arial"/>
          <w:sz w:val="18"/>
          <w:szCs w:val="18"/>
          <w:b w:val="1"/>
          <w:bCs w:val="1"/>
          <w:color w:val="auto"/>
        </w:rPr>
      </w:pPr>
    </w:p>
    <w:p>
      <w:pPr>
        <w:ind w:left="1340" w:hanging="256"/>
        <w:spacing w:after="0"/>
        <w:tabs>
          <w:tab w:leader="none" w:pos="1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 Bank as defined in section 3(a)(6) of the Act (15 U.S.C. 78c);</w:t>
      </w:r>
    </w:p>
    <w:p>
      <w:pPr>
        <w:spacing w:after="0" w:line="6" w:lineRule="exact"/>
        <w:rPr>
          <w:rFonts w:ascii="Arial" w:cs="Arial" w:eastAsia="Arial" w:hAnsi="Arial"/>
          <w:sz w:val="18"/>
          <w:szCs w:val="18"/>
          <w:b w:val="1"/>
          <w:bCs w:val="1"/>
          <w:color w:val="auto"/>
        </w:rPr>
      </w:pPr>
    </w:p>
    <w:p>
      <w:pPr>
        <w:ind w:left="1320" w:hanging="236"/>
        <w:spacing w:after="0"/>
        <w:tabs>
          <w:tab w:leader="none" w:pos="1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 Insurance company as defined in section 3(a)(19) of the Act (15 U.S.C. 78c);</w:t>
      </w:r>
    </w:p>
    <w:p>
      <w:pPr>
        <w:spacing w:after="0" w:line="6" w:lineRule="exact"/>
        <w:rPr>
          <w:rFonts w:ascii="Arial" w:cs="Arial" w:eastAsia="Arial" w:hAnsi="Arial"/>
          <w:sz w:val="18"/>
          <w:szCs w:val="18"/>
          <w:b w:val="1"/>
          <w:bCs w:val="1"/>
          <w:color w:val="auto"/>
        </w:rPr>
      </w:pPr>
    </w:p>
    <w:p>
      <w:pPr>
        <w:ind w:left="1340" w:hanging="256"/>
        <w:spacing w:after="0"/>
        <w:tabs>
          <w:tab w:leader="none" w:pos="1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 Investment company registered under section 8 of the Investment Company Act of 1940 (15 U.S.C 80a-8);</w:t>
      </w:r>
    </w:p>
    <w:p>
      <w:pPr>
        <w:spacing w:after="0" w:line="6" w:lineRule="exact"/>
        <w:rPr>
          <w:rFonts w:ascii="Arial" w:cs="Arial" w:eastAsia="Arial" w:hAnsi="Arial"/>
          <w:sz w:val="18"/>
          <w:szCs w:val="18"/>
          <w:b w:val="1"/>
          <w:bCs w:val="1"/>
          <w:color w:val="auto"/>
        </w:rPr>
      </w:pPr>
    </w:p>
    <w:p>
      <w:pPr>
        <w:ind w:left="1320" w:hanging="236"/>
        <w:spacing w:after="0"/>
        <w:tabs>
          <w:tab w:leader="none" w:pos="1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 An investment adviser in accordance with § 240.13d-1(b)(1)(ii)(E);</w:t>
      </w:r>
    </w:p>
    <w:p>
      <w:pPr>
        <w:spacing w:after="0" w:line="6" w:lineRule="exact"/>
        <w:rPr>
          <w:rFonts w:ascii="Arial" w:cs="Arial" w:eastAsia="Arial" w:hAnsi="Arial"/>
          <w:sz w:val="18"/>
          <w:szCs w:val="18"/>
          <w:b w:val="1"/>
          <w:bCs w:val="1"/>
          <w:color w:val="auto"/>
        </w:rPr>
      </w:pPr>
    </w:p>
    <w:p>
      <w:pPr>
        <w:ind w:left="1300" w:hanging="216"/>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 An employee benefit plan or endowment fund in accordance with § 240.13d-1(b)(1)(ii)(F);</w:t>
      </w:r>
    </w:p>
    <w:p>
      <w:pPr>
        <w:spacing w:after="0" w:line="6" w:lineRule="exact"/>
        <w:rPr>
          <w:rFonts w:ascii="Arial" w:cs="Arial" w:eastAsia="Arial" w:hAnsi="Arial"/>
          <w:sz w:val="18"/>
          <w:szCs w:val="18"/>
          <w:b w:val="1"/>
          <w:bCs w:val="1"/>
          <w:color w:val="auto"/>
        </w:rPr>
      </w:pPr>
    </w:p>
    <w:p>
      <w:pPr>
        <w:ind w:left="1340" w:hanging="256"/>
        <w:spacing w:after="0"/>
        <w:tabs>
          <w:tab w:leader="none" w:pos="1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 A parent holding company or control person in accordance with § 240.13d-1(b)(1)(ii)(G);</w:t>
      </w:r>
    </w:p>
    <w:p>
      <w:pPr>
        <w:spacing w:after="0" w:line="6" w:lineRule="exact"/>
        <w:rPr>
          <w:rFonts w:ascii="Arial" w:cs="Arial" w:eastAsia="Arial" w:hAnsi="Arial"/>
          <w:sz w:val="18"/>
          <w:szCs w:val="18"/>
          <w:b w:val="1"/>
          <w:bCs w:val="1"/>
          <w:color w:val="auto"/>
        </w:rPr>
      </w:pPr>
    </w:p>
    <w:p>
      <w:pPr>
        <w:ind w:left="1340" w:hanging="256"/>
        <w:spacing w:after="0"/>
        <w:tabs>
          <w:tab w:leader="none" w:pos="1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 A savings associations as defined in Section 3(b) of the Federal Deposit Insurance Act (12 U.S.C. 1813);</w:t>
      </w:r>
    </w:p>
    <w:p>
      <w:pPr>
        <w:spacing w:after="0" w:line="6" w:lineRule="exact"/>
        <w:rPr>
          <w:rFonts w:ascii="Arial" w:cs="Arial" w:eastAsia="Arial" w:hAnsi="Arial"/>
          <w:sz w:val="18"/>
          <w:szCs w:val="18"/>
          <w:b w:val="1"/>
          <w:bCs w:val="1"/>
          <w:color w:val="auto"/>
        </w:rPr>
      </w:pPr>
    </w:p>
    <w:p>
      <w:pPr>
        <w:ind w:left="1080" w:right="780" w:firstLine="4"/>
        <w:spacing w:after="0" w:line="248" w:lineRule="auto"/>
        <w:tabs>
          <w:tab w:leader="none" w:pos="129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 A church plan that is excluded from the definition of an investment company under section 3(c)(14) of the Investment Company Act of 1940 (15 U.S.C. 80a-3);</w:t>
      </w:r>
    </w:p>
    <w:p>
      <w:pPr>
        <w:ind w:left="1300" w:hanging="216"/>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 A non-U.S. institution in accordance with § 240.13d-1(b)(1)(ii)(J);</w:t>
      </w:r>
    </w:p>
    <w:p>
      <w:pPr>
        <w:spacing w:after="0" w:line="6" w:lineRule="exact"/>
        <w:rPr>
          <w:rFonts w:ascii="Arial" w:cs="Arial" w:eastAsia="Arial" w:hAnsi="Arial"/>
          <w:sz w:val="18"/>
          <w:szCs w:val="18"/>
          <w:b w:val="1"/>
          <w:bCs w:val="1"/>
          <w:color w:val="auto"/>
        </w:rPr>
      </w:pPr>
    </w:p>
    <w:p>
      <w:pPr>
        <w:ind w:left="1080" w:right="240" w:firstLine="4"/>
        <w:spacing w:after="0" w:line="256" w:lineRule="auto"/>
        <w:tabs>
          <w:tab w:leader="none" w:pos="134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 Group, in accordance with § 240.13d-1(b)(1)(ii)(K). If filing as a non-U.S. institution in accordance with § 240.13d-1(b)(1)(ii) (J), please specify the type of institution: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582295</wp:posOffset>
            </wp:positionV>
            <wp:extent cx="717613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80" w:top="101" w:right="31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334"/>
        </w:trPr>
        <w:tc>
          <w:tcPr>
            <w:tcW w:w="2420" w:type="dxa"/>
            <w:vAlign w:val="bottom"/>
            <w:tcBorders>
              <w:top w:val="single" w:sz="8" w:color="auto"/>
              <w:left w:val="single" w:sz="8" w:color="auto"/>
            </w:tcBorders>
            <w:gridSpan w:val="3"/>
          </w:tcPr>
          <w:p>
            <w:pPr>
              <w:ind w:left="80"/>
              <w:spacing w:after="0"/>
              <w:rPr>
                <w:sz w:val="20"/>
                <w:szCs w:val="20"/>
                <w:color w:val="auto"/>
              </w:rPr>
            </w:pPr>
            <w:r>
              <w:rPr>
                <w:rFonts w:ascii="Arial" w:cs="Arial" w:eastAsia="Arial" w:hAnsi="Arial"/>
                <w:sz w:val="18"/>
                <w:szCs w:val="18"/>
                <w:color w:val="auto"/>
              </w:rPr>
              <w:t>CUSIP No. 00138L 108</w:t>
            </w: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420" w:type="dxa"/>
            <w:vAlign w:val="bottom"/>
            <w:tcBorders>
              <w:top w:val="single" w:sz="8" w:color="auto"/>
              <w:right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28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color w:val="auto"/>
                <w:w w:val="84"/>
              </w:rPr>
              <w:t>Page 4 of 5</w:t>
            </w:r>
          </w:p>
        </w:tc>
      </w:tr>
      <w:tr>
        <w:trPr>
          <w:trHeight w:val="654"/>
        </w:trPr>
        <w:tc>
          <w:tcPr>
            <w:tcW w:w="760" w:type="dxa"/>
            <w:vAlign w:val="bottom"/>
          </w:tcPr>
          <w:p>
            <w:pPr>
              <w:spacing w:after="0"/>
              <w:rPr>
                <w:sz w:val="24"/>
                <w:szCs w:val="24"/>
                <w:color w:val="auto"/>
              </w:rPr>
            </w:pPr>
          </w:p>
        </w:tc>
        <w:tc>
          <w:tcPr>
            <w:tcW w:w="1660" w:type="dxa"/>
            <w:vAlign w:val="bottom"/>
            <w:gridSpan w:val="2"/>
          </w:tcPr>
          <w:p>
            <w:pPr>
              <w:ind w:left="380"/>
              <w:spacing w:after="0"/>
              <w:rPr>
                <w:sz w:val="20"/>
                <w:szCs w:val="20"/>
                <w:color w:val="auto"/>
              </w:rPr>
            </w:pPr>
            <w:r>
              <w:rPr>
                <w:rFonts w:ascii="Arial" w:cs="Arial" w:eastAsia="Arial" w:hAnsi="Arial"/>
                <w:sz w:val="18"/>
                <w:szCs w:val="18"/>
                <w:color w:val="auto"/>
              </w:rPr>
              <w:t>Not applicable</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42"/>
        </w:trPr>
        <w:tc>
          <w:tcPr>
            <w:tcW w:w="760" w:type="dxa"/>
            <w:vAlign w:val="bottom"/>
          </w:tcPr>
          <w:p>
            <w:pPr>
              <w:ind w:left="60"/>
              <w:spacing w:after="0"/>
              <w:rPr>
                <w:sz w:val="20"/>
                <w:szCs w:val="20"/>
                <w:color w:val="auto"/>
              </w:rPr>
            </w:pPr>
            <w:r>
              <w:rPr>
                <w:rFonts w:ascii="Arial" w:cs="Arial" w:eastAsia="Arial" w:hAnsi="Arial"/>
                <w:sz w:val="18"/>
                <w:szCs w:val="18"/>
                <w:b w:val="1"/>
                <w:bCs w:val="1"/>
                <w:color w:val="auto"/>
              </w:rPr>
              <w:t>Item 4.</w:t>
            </w:r>
          </w:p>
        </w:tc>
        <w:tc>
          <w:tcPr>
            <w:tcW w:w="1660" w:type="dxa"/>
            <w:vAlign w:val="bottom"/>
            <w:gridSpan w:val="2"/>
          </w:tcPr>
          <w:p>
            <w:pPr>
              <w:ind w:left="380"/>
              <w:spacing w:after="0"/>
              <w:rPr>
                <w:sz w:val="20"/>
                <w:szCs w:val="20"/>
                <w:color w:val="auto"/>
              </w:rPr>
            </w:pPr>
            <w:r>
              <w:rPr>
                <w:rFonts w:ascii="Arial" w:cs="Arial" w:eastAsia="Arial" w:hAnsi="Arial"/>
                <w:sz w:val="18"/>
                <w:szCs w:val="18"/>
                <w:b w:val="1"/>
                <w:bCs w:val="1"/>
                <w:color w:val="auto"/>
              </w:rPr>
              <w:t>Ownership:</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65"/>
        </w:trPr>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gridSpan w:val="2"/>
          </w:tcPr>
          <w:p>
            <w:pPr>
              <w:jc w:val="center"/>
              <w:ind w:left="16"/>
              <w:spacing w:after="0"/>
              <w:rPr>
                <w:sz w:val="20"/>
                <w:szCs w:val="20"/>
                <w:color w:val="auto"/>
              </w:rPr>
            </w:pPr>
            <w:r>
              <w:rPr>
                <w:rFonts w:ascii="Arial" w:cs="Arial" w:eastAsia="Arial" w:hAnsi="Arial"/>
                <w:sz w:val="18"/>
                <w:szCs w:val="18"/>
                <w:b w:val="1"/>
                <w:bCs w:val="1"/>
                <w:color w:val="auto"/>
                <w:w w:val="87"/>
              </w:rPr>
              <w:t>Sole power</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4"/>
        </w:trPr>
        <w:tc>
          <w:tcPr>
            <w:tcW w:w="760" w:type="dxa"/>
            <w:vAlign w:val="bottom"/>
          </w:tcPr>
          <w:p>
            <w:pPr>
              <w:spacing w:after="0"/>
              <w:rPr>
                <w:sz w:val="18"/>
                <w:szCs w:val="18"/>
                <w:color w:val="auto"/>
              </w:rPr>
            </w:pPr>
          </w:p>
        </w:tc>
        <w:tc>
          <w:tcPr>
            <w:tcW w:w="1000" w:type="dxa"/>
            <w:vAlign w:val="bottom"/>
          </w:tcPr>
          <w:p>
            <w:pPr>
              <w:ind w:left="220"/>
              <w:spacing w:after="0"/>
              <w:rPr>
                <w:sz w:val="20"/>
                <w:szCs w:val="20"/>
                <w:color w:val="auto"/>
              </w:rPr>
            </w:pPr>
            <w:r>
              <w:rPr>
                <w:rFonts w:ascii="Arial" w:cs="Arial" w:eastAsia="Arial" w:hAnsi="Arial"/>
                <w:sz w:val="18"/>
                <w:szCs w:val="18"/>
                <w:b w:val="1"/>
                <w:bCs w:val="1"/>
                <w:color w:val="auto"/>
              </w:rPr>
              <w:t>Amount</w:t>
            </w:r>
          </w:p>
        </w:tc>
        <w:tc>
          <w:tcPr>
            <w:tcW w:w="66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b w:val="1"/>
                <w:bCs w:val="1"/>
                <w:color w:val="auto"/>
              </w:rPr>
              <w:t>Percent of</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7"/>
              </w:rPr>
              <w:t>to vote or</w:t>
            </w:r>
          </w:p>
        </w:tc>
        <w:tc>
          <w:tcPr>
            <w:tcW w:w="1480" w:type="dxa"/>
            <w:vAlign w:val="bottom"/>
          </w:tcPr>
          <w:p>
            <w:pPr>
              <w:jc w:val="center"/>
              <w:ind w:left="11"/>
              <w:spacing w:after="0"/>
              <w:rPr>
                <w:sz w:val="20"/>
                <w:szCs w:val="20"/>
                <w:color w:val="auto"/>
              </w:rPr>
            </w:pPr>
            <w:r>
              <w:rPr>
                <w:rFonts w:ascii="Arial" w:cs="Arial" w:eastAsia="Arial" w:hAnsi="Arial"/>
                <w:sz w:val="18"/>
                <w:szCs w:val="18"/>
                <w:b w:val="1"/>
                <w:bCs w:val="1"/>
                <w:color w:val="auto"/>
                <w:w w:val="89"/>
              </w:rPr>
              <w:t>Shared power to</w:t>
            </w:r>
          </w:p>
        </w:tc>
        <w:tc>
          <w:tcPr>
            <w:tcW w:w="5160" w:type="dxa"/>
            <w:vAlign w:val="bottom"/>
            <w:gridSpan w:val="4"/>
          </w:tcPr>
          <w:p>
            <w:pPr>
              <w:ind w:left="60"/>
              <w:spacing w:after="0"/>
              <w:rPr>
                <w:sz w:val="20"/>
                <w:szCs w:val="20"/>
                <w:color w:val="auto"/>
              </w:rPr>
            </w:pPr>
            <w:r>
              <w:rPr>
                <w:rFonts w:ascii="Arial" w:cs="Arial" w:eastAsia="Arial" w:hAnsi="Arial"/>
                <w:sz w:val="18"/>
                <w:szCs w:val="18"/>
                <w:b w:val="1"/>
                <w:bCs w:val="1"/>
                <w:color w:val="auto"/>
              </w:rPr>
              <w:t>Sole power to dispose or Shared power to dispose</w:t>
            </w:r>
          </w:p>
        </w:tc>
      </w:tr>
      <w:tr>
        <w:trPr>
          <w:trHeight w:val="214"/>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w w:val="92"/>
              </w:rPr>
              <w:t>Reporting beneficially</w:t>
            </w:r>
          </w:p>
        </w:tc>
        <w:tc>
          <w:tcPr>
            <w:tcW w:w="660" w:type="dxa"/>
            <w:vAlign w:val="bottom"/>
          </w:tcPr>
          <w:p>
            <w:pPr>
              <w:ind w:left="60"/>
              <w:spacing w:after="0"/>
              <w:rPr>
                <w:sz w:val="20"/>
                <w:szCs w:val="20"/>
                <w:color w:val="auto"/>
              </w:rPr>
            </w:pPr>
            <w:r>
              <w:rPr>
                <w:rFonts w:ascii="Arial" w:cs="Arial" w:eastAsia="Arial" w:hAnsi="Arial"/>
                <w:sz w:val="18"/>
                <w:szCs w:val="18"/>
                <w:b w:val="1"/>
                <w:bCs w:val="1"/>
                <w:color w:val="auto"/>
                <w:w w:val="87"/>
              </w:rPr>
              <w:t>Percent</w:t>
            </w:r>
          </w:p>
        </w:tc>
        <w:tc>
          <w:tcPr>
            <w:tcW w:w="1200" w:type="dxa"/>
            <w:vAlign w:val="bottom"/>
          </w:tcPr>
          <w:p>
            <w:pPr>
              <w:jc w:val="right"/>
              <w:ind w:right="111"/>
              <w:spacing w:after="0"/>
              <w:rPr>
                <w:sz w:val="20"/>
                <w:szCs w:val="20"/>
                <w:color w:val="auto"/>
              </w:rPr>
            </w:pPr>
            <w:r>
              <w:rPr>
                <w:rFonts w:ascii="Arial" w:cs="Arial" w:eastAsia="Arial" w:hAnsi="Arial"/>
                <w:sz w:val="18"/>
                <w:szCs w:val="18"/>
                <w:b w:val="1"/>
                <w:bCs w:val="1"/>
                <w:color w:val="auto"/>
              </w:rPr>
              <w:t>aggregate</w:t>
            </w:r>
          </w:p>
        </w:tc>
        <w:tc>
          <w:tcPr>
            <w:tcW w:w="160" w:type="dxa"/>
            <w:vAlign w:val="bottom"/>
          </w:tcPr>
          <w:p>
            <w:pPr>
              <w:spacing w:after="0"/>
              <w:rPr>
                <w:sz w:val="18"/>
                <w:szCs w:val="18"/>
                <w:color w:val="auto"/>
              </w:rPr>
            </w:pPr>
          </w:p>
        </w:tc>
        <w:tc>
          <w:tcPr>
            <w:tcW w:w="860" w:type="dxa"/>
            <w:vAlign w:val="bottom"/>
          </w:tcPr>
          <w:p>
            <w:pPr>
              <w:jc w:val="center"/>
              <w:ind w:right="31"/>
              <w:spacing w:after="0"/>
              <w:rPr>
                <w:sz w:val="20"/>
                <w:szCs w:val="20"/>
                <w:color w:val="auto"/>
              </w:rPr>
            </w:pPr>
            <w:r>
              <w:rPr>
                <w:rFonts w:ascii="Arial" w:cs="Arial" w:eastAsia="Arial" w:hAnsi="Arial"/>
                <w:sz w:val="18"/>
                <w:szCs w:val="18"/>
                <w:b w:val="1"/>
                <w:bCs w:val="1"/>
                <w:color w:val="auto"/>
                <w:w w:val="93"/>
              </w:rPr>
              <w:t>direct</w:t>
            </w:r>
          </w:p>
        </w:tc>
        <w:tc>
          <w:tcPr>
            <w:tcW w:w="3380" w:type="dxa"/>
            <w:vAlign w:val="bottom"/>
            <w:gridSpan w:val="3"/>
          </w:tcPr>
          <w:p>
            <w:pPr>
              <w:ind w:left="40"/>
              <w:spacing w:after="0"/>
              <w:rPr>
                <w:sz w:val="20"/>
                <w:szCs w:val="20"/>
                <w:color w:val="auto"/>
              </w:rPr>
            </w:pPr>
            <w:r>
              <w:rPr>
                <w:rFonts w:ascii="Arial" w:cs="Arial" w:eastAsia="Arial" w:hAnsi="Arial"/>
                <w:sz w:val="18"/>
                <w:szCs w:val="18"/>
                <w:b w:val="1"/>
                <w:bCs w:val="1"/>
                <w:color w:val="auto"/>
                <w:w w:val="88"/>
              </w:rPr>
              <w:t>vote or to direct the to direct the disposition</w:t>
            </w:r>
          </w:p>
        </w:tc>
        <w:tc>
          <w:tcPr>
            <w:tcW w:w="3260" w:type="dxa"/>
            <w:vAlign w:val="bottom"/>
            <w:gridSpan w:val="2"/>
          </w:tcPr>
          <w:p>
            <w:pPr>
              <w:jc w:val="center"/>
              <w:ind w:right="1191"/>
              <w:spacing w:after="0"/>
              <w:rPr>
                <w:sz w:val="20"/>
                <w:szCs w:val="20"/>
                <w:color w:val="auto"/>
              </w:rPr>
            </w:pPr>
            <w:r>
              <w:rPr>
                <w:rFonts w:ascii="Arial" w:cs="Arial" w:eastAsia="Arial" w:hAnsi="Arial"/>
                <w:sz w:val="18"/>
                <w:szCs w:val="18"/>
                <w:b w:val="1"/>
                <w:bCs w:val="1"/>
                <w:color w:val="auto"/>
                <w:w w:val="90"/>
              </w:rPr>
              <w:t>or to direct the</w:t>
            </w:r>
          </w:p>
        </w:tc>
      </w:tr>
      <w:tr>
        <w:trPr>
          <w:trHeight w:val="232"/>
        </w:trPr>
        <w:tc>
          <w:tcPr>
            <w:tcW w:w="760" w:type="dxa"/>
            <w:vAlign w:val="bottom"/>
          </w:tcPr>
          <w:p>
            <w:pPr>
              <w:ind w:left="140"/>
              <w:spacing w:after="0"/>
              <w:rPr>
                <w:sz w:val="20"/>
                <w:szCs w:val="20"/>
                <w:color w:val="auto"/>
              </w:rPr>
            </w:pPr>
            <w:r>
              <w:rPr>
                <w:rFonts w:ascii="Arial" w:cs="Arial" w:eastAsia="Arial" w:hAnsi="Arial"/>
                <w:sz w:val="18"/>
                <w:szCs w:val="18"/>
                <w:b w:val="1"/>
                <w:bCs w:val="1"/>
                <w:color w:val="auto"/>
                <w:w w:val="98"/>
              </w:rPr>
              <w:t>Person</w:t>
            </w:r>
          </w:p>
        </w:tc>
        <w:tc>
          <w:tcPr>
            <w:tcW w:w="1000" w:type="dxa"/>
            <w:vAlign w:val="bottom"/>
          </w:tcPr>
          <w:p>
            <w:pPr>
              <w:ind w:left="240"/>
              <w:spacing w:after="0"/>
              <w:rPr>
                <w:sz w:val="20"/>
                <w:szCs w:val="20"/>
                <w:color w:val="auto"/>
              </w:rPr>
            </w:pPr>
            <w:r>
              <w:rPr>
                <w:rFonts w:ascii="Arial" w:cs="Arial" w:eastAsia="Arial" w:hAnsi="Arial"/>
                <w:sz w:val="18"/>
                <w:szCs w:val="18"/>
                <w:b w:val="1"/>
                <w:bCs w:val="1"/>
                <w:color w:val="auto"/>
              </w:rPr>
              <w:t>owned:</w:t>
            </w:r>
          </w:p>
        </w:tc>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of class: voting power:</w:t>
            </w:r>
          </w:p>
        </w:tc>
        <w:tc>
          <w:tcPr>
            <w:tcW w:w="1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7"/>
              </w:rPr>
              <w:t>the vote:</w:t>
            </w:r>
          </w:p>
        </w:tc>
        <w:tc>
          <w:tcPr>
            <w:tcW w:w="1480" w:type="dxa"/>
            <w:vAlign w:val="bottom"/>
          </w:tcPr>
          <w:p>
            <w:pPr>
              <w:jc w:val="center"/>
              <w:ind w:left="11"/>
              <w:spacing w:after="0"/>
              <w:rPr>
                <w:sz w:val="20"/>
                <w:szCs w:val="20"/>
                <w:color w:val="auto"/>
              </w:rPr>
            </w:pPr>
            <w:r>
              <w:rPr>
                <w:rFonts w:ascii="Arial" w:cs="Arial" w:eastAsia="Arial" w:hAnsi="Arial"/>
                <w:sz w:val="18"/>
                <w:szCs w:val="18"/>
                <w:b w:val="1"/>
                <w:bCs w:val="1"/>
                <w:color w:val="auto"/>
                <w:w w:val="88"/>
              </w:rPr>
              <w:t>vote:</w:t>
            </w:r>
          </w:p>
        </w:tc>
        <w:tc>
          <w:tcPr>
            <w:tcW w:w="1900" w:type="dxa"/>
            <w:vAlign w:val="bottom"/>
            <w:gridSpan w:val="2"/>
          </w:tcPr>
          <w:p>
            <w:pPr>
              <w:ind w:left="880"/>
              <w:spacing w:after="0"/>
              <w:rPr>
                <w:sz w:val="20"/>
                <w:szCs w:val="20"/>
                <w:color w:val="auto"/>
              </w:rPr>
            </w:pPr>
            <w:r>
              <w:rPr>
                <w:rFonts w:ascii="Arial" w:cs="Arial" w:eastAsia="Arial" w:hAnsi="Arial"/>
                <w:sz w:val="18"/>
                <w:szCs w:val="18"/>
                <w:b w:val="1"/>
                <w:bCs w:val="1"/>
                <w:color w:val="auto"/>
              </w:rPr>
              <w:t>of:</w:t>
            </w:r>
          </w:p>
        </w:tc>
        <w:tc>
          <w:tcPr>
            <w:tcW w:w="3260" w:type="dxa"/>
            <w:vAlign w:val="bottom"/>
            <w:gridSpan w:val="2"/>
          </w:tcPr>
          <w:p>
            <w:pPr>
              <w:jc w:val="center"/>
              <w:ind w:right="1171"/>
              <w:spacing w:after="0"/>
              <w:rPr>
                <w:sz w:val="20"/>
                <w:szCs w:val="20"/>
                <w:color w:val="auto"/>
              </w:rPr>
            </w:pPr>
            <w:r>
              <w:rPr>
                <w:rFonts w:ascii="Arial" w:cs="Arial" w:eastAsia="Arial" w:hAnsi="Arial"/>
                <w:sz w:val="18"/>
                <w:szCs w:val="18"/>
                <w:b w:val="1"/>
                <w:bCs w:val="1"/>
                <w:color w:val="auto"/>
                <w:w w:val="87"/>
              </w:rPr>
              <w:t>disposition of:</w:t>
            </w:r>
          </w:p>
        </w:tc>
      </w:tr>
      <w:tr>
        <w:trPr>
          <w:trHeight w:val="194"/>
        </w:trPr>
        <w:tc>
          <w:tcPr>
            <w:tcW w:w="76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Kerry</w:t>
            </w:r>
          </w:p>
        </w:tc>
        <w:tc>
          <w:tcPr>
            <w:tcW w:w="1000" w:type="dxa"/>
            <w:vAlign w:val="bottom"/>
            <w:tcBorders>
              <w:top w:val="single" w:sz="8" w:color="auto"/>
            </w:tcBorders>
          </w:tcPr>
          <w:p>
            <w:pPr>
              <w:ind w:left="20"/>
              <w:spacing w:after="0" w:line="194" w:lineRule="exact"/>
              <w:rPr>
                <w:sz w:val="20"/>
                <w:szCs w:val="20"/>
                <w:color w:val="auto"/>
              </w:rPr>
            </w:pPr>
            <w:r>
              <w:rPr>
                <w:rFonts w:ascii="Arial" w:cs="Arial" w:eastAsia="Arial" w:hAnsi="Arial"/>
                <w:sz w:val="18"/>
                <w:szCs w:val="18"/>
                <w:color w:val="auto"/>
              </w:rPr>
              <w:t>15,730,369</w:t>
            </w:r>
          </w:p>
        </w:tc>
        <w:tc>
          <w:tcPr>
            <w:tcW w:w="1860" w:type="dxa"/>
            <w:vAlign w:val="bottom"/>
            <w:tcBorders>
              <w:top w:val="single" w:sz="8" w:color="auto"/>
            </w:tcBorders>
            <w:gridSpan w:val="2"/>
          </w:tcPr>
          <w:p>
            <w:pPr>
              <w:jc w:val="right"/>
              <w:ind w:right="431"/>
              <w:spacing w:after="0" w:line="194" w:lineRule="exact"/>
              <w:rPr>
                <w:sz w:val="20"/>
                <w:szCs w:val="20"/>
                <w:color w:val="auto"/>
              </w:rPr>
            </w:pPr>
            <w:r>
              <w:rPr>
                <w:rFonts w:ascii="Arial" w:cs="Arial" w:eastAsia="Arial" w:hAnsi="Arial"/>
                <w:sz w:val="18"/>
                <w:szCs w:val="18"/>
                <w:color w:val="auto"/>
                <w:w w:val="91"/>
              </w:rPr>
              <w:t>10.1%</w:t>
            </w:r>
            <w:r>
              <w:rPr>
                <w:rFonts w:ascii="Arial" w:cs="Arial" w:eastAsia="Arial" w:hAnsi="Arial"/>
                <w:sz w:val="15"/>
                <w:szCs w:val="15"/>
                <w:color w:val="auto"/>
                <w:w w:val="91"/>
              </w:rPr>
              <w:t>(2)</w:t>
            </w:r>
            <w:r>
              <w:rPr>
                <w:rFonts w:ascii="Arial" w:cs="Arial" w:eastAsia="Arial" w:hAnsi="Arial"/>
                <w:sz w:val="18"/>
                <w:szCs w:val="18"/>
                <w:color w:val="auto"/>
                <w:w w:val="91"/>
              </w:rPr>
              <w:t xml:space="preserve">42.6% </w:t>
            </w:r>
            <w:r>
              <w:rPr>
                <w:rFonts w:ascii="Arial" w:cs="Arial" w:eastAsia="Arial" w:hAnsi="Arial"/>
                <w:sz w:val="15"/>
                <w:szCs w:val="15"/>
                <w:color w:val="auto"/>
                <w:w w:val="91"/>
              </w:rPr>
              <w:t>(3)</w:t>
            </w:r>
          </w:p>
        </w:tc>
        <w:tc>
          <w:tcPr>
            <w:tcW w:w="1020" w:type="dxa"/>
            <w:vAlign w:val="bottom"/>
            <w:tcBorders>
              <w:top w:val="single" w:sz="8" w:color="auto"/>
            </w:tcBorders>
            <w:gridSpan w:val="2"/>
          </w:tcPr>
          <w:p>
            <w:pPr>
              <w:ind w:left="60"/>
              <w:spacing w:after="0" w:line="194" w:lineRule="exact"/>
              <w:rPr>
                <w:sz w:val="20"/>
                <w:szCs w:val="20"/>
                <w:color w:val="auto"/>
              </w:rPr>
            </w:pPr>
            <w:r>
              <w:rPr>
                <w:rFonts w:ascii="Arial" w:cs="Arial" w:eastAsia="Arial" w:hAnsi="Arial"/>
                <w:sz w:val="18"/>
                <w:szCs w:val="18"/>
                <w:color w:val="auto"/>
              </w:rPr>
              <w:t>15,730,369</w:t>
            </w:r>
          </w:p>
        </w:tc>
        <w:tc>
          <w:tcPr>
            <w:tcW w:w="1480" w:type="dxa"/>
            <w:vAlign w:val="bottom"/>
            <w:tcBorders>
              <w:top w:val="single" w:sz="8" w:color="auto"/>
            </w:tcBorders>
          </w:tcPr>
          <w:p>
            <w:pPr>
              <w:ind w:left="40"/>
              <w:spacing w:after="0" w:line="194" w:lineRule="exact"/>
              <w:rPr>
                <w:sz w:val="20"/>
                <w:szCs w:val="20"/>
                <w:color w:val="auto"/>
              </w:rPr>
            </w:pPr>
            <w:r>
              <w:rPr>
                <w:rFonts w:ascii="Arial" w:cs="Arial" w:eastAsia="Arial" w:hAnsi="Arial"/>
                <w:sz w:val="18"/>
                <w:szCs w:val="18"/>
                <w:color w:val="auto"/>
              </w:rPr>
              <w:t>0</w:t>
            </w:r>
          </w:p>
        </w:tc>
        <w:tc>
          <w:tcPr>
            <w:tcW w:w="1420" w:type="dxa"/>
            <w:vAlign w:val="bottom"/>
            <w:tcBorders>
              <w:top w:val="single" w:sz="8" w:color="auto"/>
            </w:tcBorders>
          </w:tcPr>
          <w:p>
            <w:pPr>
              <w:ind w:left="60"/>
              <w:spacing w:after="0" w:line="194" w:lineRule="exact"/>
              <w:rPr>
                <w:sz w:val="20"/>
                <w:szCs w:val="20"/>
                <w:color w:val="auto"/>
              </w:rPr>
            </w:pPr>
            <w:r>
              <w:rPr>
                <w:rFonts w:ascii="Arial" w:cs="Arial" w:eastAsia="Arial" w:hAnsi="Arial"/>
                <w:sz w:val="18"/>
                <w:szCs w:val="18"/>
                <w:color w:val="auto"/>
              </w:rPr>
              <w:t xml:space="preserve">15,730,369 </w:t>
            </w:r>
            <w:r>
              <w:rPr>
                <w:rFonts w:ascii="Arial" w:cs="Arial" w:eastAsia="Arial" w:hAnsi="Arial"/>
                <w:sz w:val="15"/>
                <w:szCs w:val="15"/>
                <w:color w:val="auto"/>
              </w:rPr>
              <w:t>(1)</w:t>
            </w:r>
          </w:p>
        </w:tc>
        <w:tc>
          <w:tcPr>
            <w:tcW w:w="48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jc w:val="right"/>
              <w:ind w:right="1791"/>
              <w:spacing w:after="0" w:line="194" w:lineRule="exact"/>
              <w:rPr>
                <w:sz w:val="20"/>
                <w:szCs w:val="20"/>
                <w:color w:val="auto"/>
              </w:rPr>
            </w:pPr>
            <w:r>
              <w:rPr>
                <w:rFonts w:ascii="Arial" w:cs="Arial" w:eastAsia="Arial" w:hAnsi="Arial"/>
                <w:sz w:val="18"/>
                <w:szCs w:val="18"/>
                <w:color w:val="auto"/>
                <w:w w:val="79"/>
              </w:rPr>
              <w:t>0</w:t>
            </w:r>
          </w:p>
        </w:tc>
        <w:tc>
          <w:tcPr>
            <w:tcW w:w="1280" w:type="dxa"/>
            <w:vAlign w:val="bottom"/>
          </w:tcPr>
          <w:p>
            <w:pPr>
              <w:spacing w:after="0"/>
              <w:rPr>
                <w:sz w:val="16"/>
                <w:szCs w:val="16"/>
                <w:color w:val="auto"/>
              </w:rPr>
            </w:pPr>
          </w:p>
        </w:tc>
      </w:tr>
      <w:tr>
        <w:trPr>
          <w:trHeight w:val="214"/>
        </w:trPr>
        <w:tc>
          <w:tcPr>
            <w:tcW w:w="1760" w:type="dxa"/>
            <w:vAlign w:val="bottom"/>
            <w:gridSpan w:val="2"/>
          </w:tcPr>
          <w:p>
            <w:pPr>
              <w:ind w:left="160"/>
              <w:spacing w:after="0"/>
              <w:rPr>
                <w:sz w:val="20"/>
                <w:szCs w:val="20"/>
                <w:color w:val="auto"/>
              </w:rPr>
            </w:pPr>
            <w:r>
              <w:rPr>
                <w:rFonts w:ascii="Arial" w:cs="Arial" w:eastAsia="Arial" w:hAnsi="Arial"/>
                <w:sz w:val="18"/>
                <w:szCs w:val="18"/>
                <w:color w:val="auto"/>
              </w:rPr>
              <w:t>Xuefeng</w:t>
            </w:r>
            <w:r>
              <w:rPr>
                <w:rFonts w:ascii="Arial" w:cs="Arial" w:eastAsia="Arial" w:hAnsi="Arial"/>
                <w:sz w:val="15"/>
                <w:szCs w:val="15"/>
                <w:color w:val="auto"/>
              </w:rPr>
              <w:t>(1)</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5"/>
                <w:szCs w:val="15"/>
                <w:color w:val="auto"/>
              </w:rPr>
              <w:t>(1)</w:t>
            </w: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760" w:type="dxa"/>
            <w:vAlign w:val="bottom"/>
          </w:tcPr>
          <w:p>
            <w:pPr>
              <w:ind w:left="160"/>
              <w:spacing w:after="0"/>
              <w:rPr>
                <w:sz w:val="20"/>
                <w:szCs w:val="20"/>
                <w:color w:val="auto"/>
              </w:rPr>
            </w:pPr>
            <w:r>
              <w:rPr>
                <w:rFonts w:ascii="Arial" w:cs="Arial" w:eastAsia="Arial" w:hAnsi="Arial"/>
                <w:sz w:val="18"/>
                <w:szCs w:val="18"/>
                <w:color w:val="auto"/>
              </w:rPr>
              <w:t>Chen</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760" w:type="dxa"/>
            <w:vAlign w:val="bottom"/>
          </w:tcPr>
          <w:p>
            <w:pPr>
              <w:spacing w:after="0"/>
              <w:rPr>
                <w:sz w:val="20"/>
                <w:szCs w:val="20"/>
                <w:color w:val="auto"/>
              </w:rPr>
            </w:pPr>
            <w:r>
              <w:rPr>
                <w:rFonts w:ascii="Arial" w:cs="Arial" w:eastAsia="Arial" w:hAnsi="Arial"/>
                <w:sz w:val="18"/>
                <w:szCs w:val="18"/>
                <w:color w:val="auto"/>
              </w:rPr>
              <w:t>C&amp;XF</w:t>
            </w:r>
          </w:p>
        </w:tc>
        <w:tc>
          <w:tcPr>
            <w:tcW w:w="1000" w:type="dxa"/>
            <w:vAlign w:val="bottom"/>
          </w:tcPr>
          <w:p>
            <w:pPr>
              <w:ind w:left="20"/>
              <w:spacing w:after="0"/>
              <w:rPr>
                <w:sz w:val="20"/>
                <w:szCs w:val="20"/>
                <w:color w:val="auto"/>
              </w:rPr>
            </w:pPr>
            <w:r>
              <w:rPr>
                <w:rFonts w:ascii="Arial" w:cs="Arial" w:eastAsia="Arial" w:hAnsi="Arial"/>
                <w:sz w:val="18"/>
                <w:szCs w:val="18"/>
                <w:color w:val="auto"/>
              </w:rPr>
              <w:t>11,287,336</w:t>
            </w:r>
          </w:p>
        </w:tc>
        <w:tc>
          <w:tcPr>
            <w:tcW w:w="660" w:type="dxa"/>
            <w:vAlign w:val="bottom"/>
          </w:tcPr>
          <w:p>
            <w:pPr>
              <w:jc w:val="right"/>
              <w:spacing w:after="0"/>
              <w:rPr>
                <w:sz w:val="20"/>
                <w:szCs w:val="20"/>
                <w:color w:val="auto"/>
              </w:rPr>
            </w:pPr>
            <w:r>
              <w:rPr>
                <w:rFonts w:ascii="Arial" w:cs="Arial" w:eastAsia="Arial" w:hAnsi="Arial"/>
                <w:sz w:val="18"/>
                <w:szCs w:val="18"/>
                <w:color w:val="auto"/>
                <w:w w:val="94"/>
              </w:rPr>
              <w:t>7.5%</w:t>
            </w:r>
            <w:r>
              <w:rPr>
                <w:rFonts w:ascii="Arial" w:cs="Arial" w:eastAsia="Arial" w:hAnsi="Arial"/>
                <w:sz w:val="15"/>
                <w:szCs w:val="15"/>
                <w:color w:val="auto"/>
                <w:w w:val="94"/>
              </w:rPr>
              <w:t>(2)</w:t>
            </w:r>
          </w:p>
        </w:tc>
        <w:tc>
          <w:tcPr>
            <w:tcW w:w="1200" w:type="dxa"/>
            <w:vAlign w:val="bottom"/>
          </w:tcPr>
          <w:p>
            <w:pPr>
              <w:jc w:val="right"/>
              <w:ind w:right="431"/>
              <w:spacing w:after="0"/>
              <w:rPr>
                <w:sz w:val="20"/>
                <w:szCs w:val="20"/>
                <w:color w:val="auto"/>
              </w:rPr>
            </w:pPr>
            <w:r>
              <w:rPr>
                <w:rFonts w:ascii="Arial" w:cs="Arial" w:eastAsia="Arial" w:hAnsi="Arial"/>
                <w:sz w:val="18"/>
                <w:szCs w:val="18"/>
                <w:color w:val="auto"/>
                <w:w w:val="88"/>
              </w:rPr>
              <w:t xml:space="preserve">42.0% </w:t>
            </w:r>
            <w:r>
              <w:rPr>
                <w:rFonts w:ascii="Arial" w:cs="Arial" w:eastAsia="Arial" w:hAnsi="Arial"/>
                <w:sz w:val="15"/>
                <w:szCs w:val="15"/>
                <w:color w:val="auto"/>
                <w:w w:val="88"/>
              </w:rPr>
              <w:t>(3)</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11,287,336</w:t>
            </w:r>
          </w:p>
        </w:tc>
        <w:tc>
          <w:tcPr>
            <w:tcW w:w="1480" w:type="dxa"/>
            <w:vAlign w:val="bottom"/>
          </w:tcPr>
          <w:p>
            <w:pPr>
              <w:ind w:left="40"/>
              <w:spacing w:after="0"/>
              <w:rPr>
                <w:sz w:val="20"/>
                <w:szCs w:val="20"/>
                <w:color w:val="auto"/>
              </w:rPr>
            </w:pPr>
            <w:r>
              <w:rPr>
                <w:rFonts w:ascii="Arial" w:cs="Arial" w:eastAsia="Arial" w:hAnsi="Arial"/>
                <w:sz w:val="18"/>
                <w:szCs w:val="18"/>
                <w:color w:val="auto"/>
              </w:rPr>
              <w:t>0</w:t>
            </w:r>
          </w:p>
        </w:tc>
        <w:tc>
          <w:tcPr>
            <w:tcW w:w="1420" w:type="dxa"/>
            <w:vAlign w:val="bottom"/>
          </w:tcPr>
          <w:p>
            <w:pPr>
              <w:ind w:left="60"/>
              <w:spacing w:after="0"/>
              <w:rPr>
                <w:sz w:val="20"/>
                <w:szCs w:val="20"/>
                <w:color w:val="auto"/>
              </w:rPr>
            </w:pPr>
            <w:r>
              <w:rPr>
                <w:rFonts w:ascii="Arial" w:cs="Arial" w:eastAsia="Arial" w:hAnsi="Arial"/>
                <w:sz w:val="18"/>
                <w:szCs w:val="18"/>
                <w:color w:val="auto"/>
              </w:rPr>
              <w:t xml:space="preserve">11,287,336 </w:t>
            </w:r>
            <w:r>
              <w:rPr>
                <w:rFonts w:ascii="Arial" w:cs="Arial" w:eastAsia="Arial" w:hAnsi="Arial"/>
                <w:sz w:val="15"/>
                <w:szCs w:val="15"/>
                <w:color w:val="auto"/>
              </w:rPr>
              <w:t>(4)</w:t>
            </w:r>
          </w:p>
        </w:tc>
        <w:tc>
          <w:tcPr>
            <w:tcW w:w="480" w:type="dxa"/>
            <w:vAlign w:val="bottom"/>
          </w:tcPr>
          <w:p>
            <w:pPr>
              <w:spacing w:after="0"/>
              <w:rPr>
                <w:sz w:val="18"/>
                <w:szCs w:val="18"/>
                <w:color w:val="auto"/>
              </w:rPr>
            </w:pPr>
          </w:p>
        </w:tc>
        <w:tc>
          <w:tcPr>
            <w:tcW w:w="1980" w:type="dxa"/>
            <w:vAlign w:val="bottom"/>
          </w:tcPr>
          <w:p>
            <w:pPr>
              <w:jc w:val="right"/>
              <w:ind w:right="1791"/>
              <w:spacing w:after="0"/>
              <w:rPr>
                <w:sz w:val="20"/>
                <w:szCs w:val="20"/>
                <w:color w:val="auto"/>
              </w:rPr>
            </w:pPr>
            <w:r>
              <w:rPr>
                <w:rFonts w:ascii="Arial" w:cs="Arial" w:eastAsia="Arial" w:hAnsi="Arial"/>
                <w:sz w:val="18"/>
                <w:szCs w:val="18"/>
                <w:color w:val="auto"/>
                <w:w w:val="79"/>
              </w:rPr>
              <w:t>0</w:t>
            </w:r>
          </w:p>
        </w:tc>
        <w:tc>
          <w:tcPr>
            <w:tcW w:w="1280" w:type="dxa"/>
            <w:vAlign w:val="bottom"/>
          </w:tcPr>
          <w:p>
            <w:pPr>
              <w:spacing w:after="0"/>
              <w:rPr>
                <w:sz w:val="18"/>
                <w:szCs w:val="18"/>
                <w:color w:val="auto"/>
              </w:rPr>
            </w:pPr>
          </w:p>
        </w:tc>
      </w:tr>
      <w:tr>
        <w:trPr>
          <w:trHeight w:val="214"/>
        </w:trPr>
        <w:tc>
          <w:tcPr>
            <w:tcW w:w="760" w:type="dxa"/>
            <w:vAlign w:val="bottom"/>
          </w:tcPr>
          <w:p>
            <w:pPr>
              <w:ind w:left="160"/>
              <w:spacing w:after="0"/>
              <w:rPr>
                <w:sz w:val="20"/>
                <w:szCs w:val="20"/>
                <w:color w:val="auto"/>
              </w:rPr>
            </w:pPr>
            <w:r>
              <w:rPr>
                <w:rFonts w:ascii="Arial" w:cs="Arial" w:eastAsia="Arial" w:hAnsi="Arial"/>
                <w:sz w:val="18"/>
                <w:szCs w:val="18"/>
                <w:color w:val="auto"/>
              </w:rPr>
              <w:t>Group</w:t>
            </w:r>
          </w:p>
        </w:tc>
        <w:tc>
          <w:tcPr>
            <w:tcW w:w="1000" w:type="dxa"/>
            <w:vAlign w:val="bottom"/>
          </w:tcPr>
          <w:p>
            <w:pPr>
              <w:ind w:left="20"/>
              <w:spacing w:after="0"/>
              <w:rPr>
                <w:sz w:val="20"/>
                <w:szCs w:val="20"/>
                <w:color w:val="auto"/>
              </w:rPr>
            </w:pPr>
            <w:r>
              <w:rPr>
                <w:rFonts w:ascii="Arial" w:cs="Arial" w:eastAsia="Arial" w:hAnsi="Arial"/>
                <w:sz w:val="15"/>
                <w:szCs w:val="15"/>
                <w:color w:val="auto"/>
              </w:rPr>
              <w:t>(4)</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5"/>
                <w:szCs w:val="15"/>
                <w:color w:val="auto"/>
              </w:rPr>
              <w:t>(4)</w:t>
            </w: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7"/>
        </w:trPr>
        <w:tc>
          <w:tcPr>
            <w:tcW w:w="760" w:type="dxa"/>
            <w:vAlign w:val="bottom"/>
          </w:tcPr>
          <w:p>
            <w:pPr>
              <w:ind w:left="160"/>
              <w:spacing w:after="0"/>
              <w:rPr>
                <w:sz w:val="20"/>
                <w:szCs w:val="20"/>
                <w:color w:val="auto"/>
              </w:rPr>
            </w:pPr>
            <w:r>
              <w:rPr>
                <w:rFonts w:ascii="Arial" w:cs="Arial" w:eastAsia="Arial" w:hAnsi="Arial"/>
                <w:sz w:val="18"/>
                <w:szCs w:val="18"/>
                <w:color w:val="auto"/>
                <w:w w:val="99"/>
              </w:rPr>
              <w:t>Limited</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line="5" w:lineRule="exact"/>
        <w:rPr>
          <w:sz w:val="20"/>
          <w:szCs w:val="20"/>
          <w:color w:val="auto"/>
        </w:rPr>
      </w:pPr>
    </w:p>
    <w:p>
      <w:pPr>
        <w:ind w:left="360" w:right="80" w:hanging="353"/>
        <w:spacing w:after="0" w:line="315" w:lineRule="auto"/>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(i) 4,443,033 Class A ordinary shares Mr. Kerry Xuefeng Chen has the right to acquire within 60 days after December 31, 2021, and (ii) 11,287,336 Class C ordinary shares held by C&amp;XF Group Limited, a limited liability company incorporated under the laws of the British Virgin Islands. Mr. Kerry Xuefeng Chen is the sole shareholder and the sole director of C&amp;XF Group Limited. Each holder of Class A ordinary shares is entitled to one vote per share and each holder of Class C ordinary shares is entitled to fifteen votes per share on all matters submitted to them for vote. Class C ordinary shares are convertible at any time by the holder thereof into Class A ordinary shares on a one-for-one basis. Class A ordinary shares are not convertible into Class C ordinary shares under any circumstances.</w:t>
      </w:r>
    </w:p>
    <w:p>
      <w:pPr>
        <w:spacing w:after="0" w:line="147" w:lineRule="exact"/>
        <w:rPr>
          <w:rFonts w:ascii="Arial" w:cs="Arial" w:eastAsia="Arial" w:hAnsi="Arial"/>
          <w:sz w:val="14"/>
          <w:szCs w:val="14"/>
          <w:color w:val="auto"/>
        </w:rPr>
      </w:pPr>
    </w:p>
    <w:p>
      <w:pPr>
        <w:ind w:left="360" w:right="200" w:hanging="353"/>
        <w:spacing w:after="0" w:line="275" w:lineRule="auto"/>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percentage of class of securities beneficially owned by each Reporting Person is based on a total of 150,943,816 outstanding ordinary shares (excluding 8,437,683 Class A ordinary shares issued to depositary bank for the purpose of bulk issuance) of the Issuer outstanding as of December 31, 2021 (being the sum of 92,416,377 Class A ordinary shares, 47,240,103 Class B ordinary shares and 11,287,336 Class C ordinary shares).</w:t>
      </w:r>
    </w:p>
    <w:p>
      <w:pPr>
        <w:spacing w:after="0" w:line="169" w:lineRule="exact"/>
        <w:rPr>
          <w:rFonts w:ascii="Arial" w:cs="Arial" w:eastAsia="Arial" w:hAnsi="Arial"/>
          <w:sz w:val="16"/>
          <w:szCs w:val="16"/>
          <w:color w:val="auto"/>
        </w:rPr>
      </w:pPr>
    </w:p>
    <w:p>
      <w:pPr>
        <w:ind w:left="360" w:right="100" w:hanging="353"/>
        <w:spacing w:after="0" w:line="315" w:lineRule="auto"/>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each Reporting Person, percentage of aggregate voting power is calculated by dividing the voting power beneficially owned by such Reporting Person by the voting power of all of the issuer’s Class A, Class B and Class C ordinary shares as a single class. Each holder of Class A ordinary shares is entitled to one vote per share, each holder of Class B ordinary shares is entitled to three votes per share, and each holder of Class C ordinary shares is entitled to fifteen votes per share on all matters submitted to them for vote. Class B ordinary shares and Class C ordinary shares are convertible at any time by the holder thereof into Class A ordinary shares on a one-for-one basis. Class A ordinary shares are not convertible into either Class B ordinary shares or Class C ordinary shares under any circumstances.</w:t>
      </w:r>
    </w:p>
    <w:p>
      <w:pPr>
        <w:spacing w:after="0" w:line="147" w:lineRule="exact"/>
        <w:rPr>
          <w:rFonts w:ascii="Arial" w:cs="Arial" w:eastAsia="Arial" w:hAnsi="Arial"/>
          <w:sz w:val="14"/>
          <w:szCs w:val="14"/>
          <w:color w:val="auto"/>
        </w:rPr>
      </w:pPr>
    </w:p>
    <w:p>
      <w:pPr>
        <w:ind w:left="360" w:right="340" w:hanging="353"/>
        <w:spacing w:after="0" w:line="324" w:lineRule="auto"/>
        <w:tabs>
          <w:tab w:leader="none" w:pos="36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11,287,336 Class C ordinary shares directly held by C&amp;XF Group Limited. Class C ordinary shares are convertible at any time by the holder thereof into Class A ordinary shares on a one-for-one basis. Class A ordinary shares are not convertible into Class C ordinary shares under any circumstances.</w:t>
      </w:r>
    </w:p>
    <w:p>
      <w:pPr>
        <w:spacing w:after="0" w:line="195"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4"/>
          <w:szCs w:val="14"/>
          <w:b w:val="1"/>
          <w:bCs w:val="1"/>
          <w:color w:val="auto"/>
        </w:rPr>
        <w:t>Ownership of Five Percent or Less of a Class:</w:t>
      </w:r>
    </w:p>
    <w:p>
      <w:pPr>
        <w:spacing w:after="0" w:line="11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1"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1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1" w:lineRule="exact"/>
        <w:rPr>
          <w:sz w:val="20"/>
          <w:szCs w:val="20"/>
          <w:color w:val="auto"/>
        </w:rPr>
      </w:pPr>
    </w:p>
    <w:p>
      <w:pPr>
        <w:ind w:left="1420" w:right="600" w:hanging="1350"/>
        <w:spacing w:after="0" w:line="275" w:lineRule="auto"/>
        <w:tabs>
          <w:tab w:leader="none" w:pos="14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Controlling Person:</w:t>
      </w:r>
    </w:p>
    <w:p>
      <w:pPr>
        <w:spacing w:after="0" w:line="6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1"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334645</wp:posOffset>
            </wp:positionV>
            <wp:extent cx="717613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80"/>
          </w:cols>
          <w:pgMar w:left="320" w:top="120" w:right="29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8990" cy="212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212090"/>
                    </a:xfrm>
                    <a:prstGeom prst="rect">
                      <a:avLst/>
                    </a:prstGeom>
                    <a:noFill/>
                  </pic:spPr>
                </pic:pic>
              </a:graphicData>
            </a:graphic>
          </wp:anchor>
        </w:drawing>
        <w:t xml:space="preserve">CUSIP No. 00138L 108                      </w:t>
      </w:r>
      <w:r>
        <w:rPr>
          <w:sz w:val="1"/>
          <w:szCs w:val="1"/>
          <w:color w:val="auto"/>
        </w:rPr>
        <w:drawing>
          <wp:inline distT="0" distB="0" distL="0" distR="0">
            <wp:extent cx="8255" cy="2120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212090"/>
                    </a:xfrm>
                    <a:prstGeom prst="rect">
                      <a:avLst/>
                    </a:prstGeom>
                    <a:noFill/>
                    <a:ln>
                      <a:noFill/>
                    </a:ln>
                  </pic:spPr>
                </pic:pic>
              </a:graphicData>
            </a:graphic>
          </wp:inline>
        </w:drawing>
        <w:drawing>
          <wp:inline distT="0" distB="0" distL="0" distR="0">
            <wp:extent cx="8255" cy="2120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212090"/>
                    </a:xfrm>
                    <a:prstGeom prst="rect">
                      <a:avLst/>
                    </a:prstGeom>
                    <a:noFill/>
                    <a:ln>
                      <a:noFill/>
                    </a:ln>
                  </pic:spPr>
                </pic:pic>
              </a:graphicData>
            </a:graphic>
          </wp:inline>
        </w:drawing>
      </w:r>
      <w:r>
        <w:rPr>
          <w:rFonts w:ascii="Arial" w:cs="Arial" w:eastAsia="Arial" w:hAnsi="Arial"/>
          <w:sz w:val="18"/>
          <w:szCs w:val="18"/>
          <w:color w:val="auto"/>
        </w:rPr>
        <w:t xml:space="preserve">                                Page 5 of 5</w:t>
      </w:r>
    </w:p>
    <w:p>
      <w:pPr>
        <w:sectPr>
          <w:pgSz w:w="11900" w:h="16838" w:orient="portrait"/>
          <w:cols w:equalWidth="0" w:num="1">
            <w:col w:w="11200"/>
          </w:cols>
          <w:pgMar w:left="380" w:top="101" w:right="3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4"/>
          <w:szCs w:val="14"/>
          <w:b w:val="1"/>
          <w:bCs w:val="1"/>
          <w:color w:val="auto"/>
        </w:rPr>
        <w:t>Notice of Dissolution of Group:</w:t>
      </w:r>
    </w:p>
    <w:p>
      <w:pPr>
        <w:spacing w:after="0" w:line="11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Not applicable</w:t>
      </w:r>
    </w:p>
    <w:p>
      <w:pPr>
        <w:spacing w:after="0" w:line="32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1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467995</wp:posOffset>
            </wp:positionV>
            <wp:extent cx="717613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80" w:top="101" w:right="31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KERRY XUEFENG CHEN</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u w:val="single" w:color="auto"/>
          <w:color w:val="auto"/>
        </w:rPr>
        <w:t>/s/ Kerry Xuefeng Chen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C&amp;XF GROUP LIMITED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tcPr>
          <w:p>
            <w:pPr>
              <w:ind w:left="5240"/>
              <w:spacing w:after="0"/>
              <w:rPr>
                <w:sz w:val="20"/>
                <w:szCs w:val="20"/>
                <w:color w:val="auto"/>
              </w:rPr>
            </w:pPr>
            <w:r>
              <w:rPr>
                <w:rFonts w:ascii="Arial" w:cs="Arial" w:eastAsia="Arial" w:hAnsi="Arial"/>
                <w:sz w:val="18"/>
                <w:szCs w:val="18"/>
                <w:color w:val="auto"/>
              </w:rPr>
              <w:t>By:</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/s/ Kerry Xuefeng Chen</w:t>
            </w:r>
          </w:p>
        </w:tc>
        <w:tc>
          <w:tcPr>
            <w:tcW w:w="3400" w:type="dxa"/>
            <w:vAlign w:val="bottom"/>
          </w:tcPr>
          <w:p>
            <w:pPr>
              <w:spacing w:after="0"/>
              <w:rPr>
                <w:sz w:val="17"/>
                <w:szCs w:val="17"/>
                <w:color w:val="auto"/>
              </w:rPr>
            </w:pPr>
          </w:p>
        </w:tc>
      </w:tr>
      <w:tr>
        <w:trPr>
          <w:trHeight w:val="220"/>
        </w:trPr>
        <w:tc>
          <w:tcPr>
            <w:tcW w:w="6140" w:type="dxa"/>
            <w:vAlign w:val="bottom"/>
          </w:tcPr>
          <w:p>
            <w:pPr>
              <w:ind w:left="5240"/>
              <w:spacing w:after="0"/>
              <w:rPr>
                <w:sz w:val="20"/>
                <w:szCs w:val="20"/>
                <w:color w:val="auto"/>
              </w:rPr>
            </w:pPr>
            <w:r>
              <w:rPr>
                <w:rFonts w:ascii="Arial" w:cs="Arial" w:eastAsia="Arial" w:hAnsi="Arial"/>
                <w:sz w:val="18"/>
                <w:szCs w:val="18"/>
                <w:color w:val="auto"/>
              </w:rPr>
              <w:t>Name:</w:t>
            </w:r>
          </w:p>
        </w:tc>
        <w:tc>
          <w:tcPr>
            <w:tcW w:w="5120" w:type="dxa"/>
            <w:vAlign w:val="bottom"/>
            <w:gridSpan w:val="2"/>
          </w:tcPr>
          <w:p>
            <w:pPr>
              <w:jc w:val="right"/>
              <w:ind w:right="3400"/>
              <w:spacing w:after="0"/>
              <w:rPr>
                <w:sz w:val="20"/>
                <w:szCs w:val="20"/>
                <w:color w:val="auto"/>
              </w:rPr>
            </w:pPr>
            <w:r>
              <w:rPr>
                <w:rFonts w:ascii="Arial" w:cs="Arial" w:eastAsia="Arial" w:hAnsi="Arial"/>
                <w:sz w:val="18"/>
                <w:szCs w:val="18"/>
                <w:color w:val="auto"/>
              </w:rPr>
              <w:t>Kerry Xuefeng Chen</w:t>
            </w:r>
          </w:p>
        </w:tc>
      </w:tr>
      <w:tr>
        <w:trPr>
          <w:trHeight w:val="227"/>
        </w:trPr>
        <w:tc>
          <w:tcPr>
            <w:tcW w:w="6140" w:type="dxa"/>
            <w:vAlign w:val="bottom"/>
          </w:tcPr>
          <w:p>
            <w:pPr>
              <w:ind w:left="5240"/>
              <w:spacing w:after="0"/>
              <w:rPr>
                <w:sz w:val="20"/>
                <w:szCs w:val="20"/>
                <w:color w:val="auto"/>
              </w:rPr>
            </w:pPr>
            <w:r>
              <w:rPr>
                <w:rFonts w:ascii="Arial" w:cs="Arial" w:eastAsia="Arial" w:hAnsi="Arial"/>
                <w:sz w:val="18"/>
                <w:szCs w:val="18"/>
                <w:color w:val="auto"/>
              </w:rPr>
              <w:t>Title:</w:t>
            </w:r>
          </w:p>
        </w:tc>
        <w:tc>
          <w:tcPr>
            <w:tcW w:w="5120" w:type="dxa"/>
            <w:vAlign w:val="bottom"/>
            <w:gridSpan w:val="2"/>
          </w:tcPr>
          <w:p>
            <w:pPr>
              <w:jc w:val="right"/>
              <w:ind w:right="4400"/>
              <w:spacing w:after="0"/>
              <w:rPr>
                <w:sz w:val="20"/>
                <w:szCs w:val="20"/>
                <w:color w:val="auto"/>
              </w:rPr>
            </w:pPr>
            <w:r>
              <w:rPr>
                <w:rFonts w:ascii="Arial" w:cs="Arial" w:eastAsia="Arial" w:hAnsi="Arial"/>
                <w:sz w:val="18"/>
                <w:szCs w:val="18"/>
                <w:color w:val="auto"/>
              </w:rPr>
              <w:t>Director</w:t>
            </w:r>
          </w:p>
        </w:tc>
      </w:tr>
      <w:tr>
        <w:trPr>
          <w:trHeight w:val="1185"/>
        </w:trPr>
        <w:tc>
          <w:tcPr>
            <w:tcW w:w="61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723" w:right="319" w:bottom="1440" w:gutter="0" w:footer="0" w:header="0"/>
        </w:sectPr>
      </w:pPr>
    </w:p>
    <w:bookmarkStart w:id="7" w:name="page8"/>
    <w:bookmarkEnd w:id="7"/>
    <w:p>
      <w:pPr>
        <w:jc w:val="right"/>
        <w:ind w:right="3719"/>
        <w:spacing w:after="0"/>
        <w:rPr>
          <w:sz w:val="20"/>
          <w:szCs w:val="20"/>
          <w:color w:val="auto"/>
        </w:rPr>
      </w:pPr>
      <w:r>
        <w:rPr>
          <w:rFonts w:ascii="Arial" w:cs="Arial" w:eastAsia="Arial" w:hAnsi="Arial"/>
          <w:sz w:val="18"/>
          <w:szCs w:val="18"/>
          <w:b w:val="1"/>
          <w:bCs w:val="1"/>
          <w:color w:val="auto"/>
        </w:rPr>
        <w:t>LIST OF EXHIBITS</w:t>
      </w:r>
    </w:p>
    <w:p>
      <w:pPr>
        <w:spacing w:after="0" w:line="200" w:lineRule="exact"/>
        <w:rPr>
          <w:sz w:val="20"/>
          <w:szCs w:val="20"/>
          <w:color w:val="auto"/>
        </w:rPr>
      </w:pPr>
    </w:p>
    <w:p>
      <w:pPr>
        <w:spacing w:after="0" w:line="235" w:lineRule="exact"/>
        <w:rPr>
          <w:sz w:val="20"/>
          <w:szCs w:val="20"/>
          <w:color w:val="auto"/>
        </w:rPr>
      </w:pPr>
    </w:p>
    <w:p>
      <w:pPr>
        <w:ind w:left="240"/>
        <w:spacing w:after="0"/>
        <w:tabs>
          <w:tab w:leader="none" w:pos="14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456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655" cy="8255"/>
                    </a:xfrm>
                    <a:prstGeom prst="rect">
                      <a:avLst/>
                    </a:prstGeom>
                    <a:noFill/>
                  </pic:spPr>
                </pic:pic>
              </a:graphicData>
            </a:graphic>
          </wp:anchor>
        </w:drawing>
      </w:r>
    </w:p>
    <w:p>
      <w:pPr>
        <w:spacing w:after="0" w:line="71"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1002665</wp:posOffset>
            </wp:positionV>
            <wp:extent cx="71761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059"/>
          </w:cols>
          <w:pgMar w:left="400" w:top="723"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EXHIBIT A</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JOINT FILING AGREEMENT</w:t>
      </w:r>
    </w:p>
    <w:p>
      <w:pPr>
        <w:spacing w:after="0" w:line="225" w:lineRule="exact"/>
        <w:rPr>
          <w:sz w:val="20"/>
          <w:szCs w:val="20"/>
          <w:color w:val="auto"/>
        </w:rPr>
      </w:pPr>
    </w:p>
    <w:p>
      <w:pPr>
        <w:ind w:firstLine="519"/>
        <w:spacing w:after="0" w:line="253" w:lineRule="auto"/>
        <w:rPr>
          <w:sz w:val="20"/>
          <w:szCs w:val="20"/>
          <w:color w:val="auto"/>
        </w:rPr>
      </w:pPr>
      <w:r>
        <w:rPr>
          <w:rFonts w:ascii="Arial" w:cs="Arial" w:eastAsia="Arial" w:hAnsi="Arial"/>
          <w:sz w:val="18"/>
          <w:szCs w:val="18"/>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ordinary shares, par value of $0.001 per share, of ATRenew Inc., a Cayman Islands company, and that this Agreement may be included as an Exhibit to such joint filing. This Agreement may be executed in any number of counterparts, all of which taken together shall constitute one and the same instrument.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WITNESS WHEREOF, the undersigned hereby execute this Agreement as of January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KERRY XUEFENG CHEN</w:t>
      </w:r>
    </w:p>
    <w:p>
      <w:pPr>
        <w:spacing w:after="0" w:line="372"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/s/ Kerry Xuefeng Chen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C&amp;XF GROUP LIMITED</w:t>
      </w:r>
    </w:p>
    <w:p>
      <w:pPr>
        <w:spacing w:after="0" w:line="353" w:lineRule="exact"/>
        <w:rPr>
          <w:sz w:val="20"/>
          <w:szCs w:val="20"/>
          <w:color w:val="auto"/>
        </w:rPr>
      </w:pPr>
    </w:p>
    <w:tbl>
      <w:tblPr>
        <w:tblLayout w:type="fixed"/>
        <w:tblInd w:w="606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/s/ Kerry Xuefeng Chen</w:t>
            </w:r>
          </w:p>
        </w:tc>
      </w:tr>
      <w:tr>
        <w:trPr>
          <w:trHeight w:val="220"/>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1700" w:type="dxa"/>
            <w:vAlign w:val="bottom"/>
          </w:tcPr>
          <w:p>
            <w:pPr>
              <w:jc w:val="right"/>
              <w:spacing w:after="0"/>
              <w:rPr>
                <w:sz w:val="20"/>
                <w:szCs w:val="20"/>
                <w:color w:val="auto"/>
              </w:rPr>
            </w:pPr>
            <w:r>
              <w:rPr>
                <w:rFonts w:ascii="Arial" w:cs="Arial" w:eastAsia="Arial" w:hAnsi="Arial"/>
                <w:sz w:val="18"/>
                <w:szCs w:val="18"/>
                <w:color w:val="auto"/>
              </w:rPr>
              <w:t>Kerry Xuefeng Chen</w:t>
            </w:r>
          </w:p>
        </w:tc>
      </w:tr>
      <w:tr>
        <w:trPr>
          <w:trHeight w:val="227"/>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1700" w:type="dxa"/>
            <w:vAlign w:val="bottom"/>
          </w:tcPr>
          <w:p>
            <w:pPr>
              <w:jc w:val="right"/>
              <w:ind w:right="891"/>
              <w:spacing w:after="0"/>
              <w:rPr>
                <w:sz w:val="20"/>
                <w:szCs w:val="20"/>
                <w:color w:val="auto"/>
              </w:rPr>
            </w:pPr>
            <w:r>
              <w:rPr>
                <w:rFonts w:ascii="Arial" w:cs="Arial" w:eastAsia="Arial" w:hAnsi="Arial"/>
                <w:sz w:val="18"/>
                <w:szCs w:val="18"/>
                <w:color w:val="auto"/>
              </w:rPr>
              <w:t>Director</w:t>
            </w:r>
          </w:p>
        </w:tc>
      </w:tr>
    </w:tbl>
    <w:p>
      <w:pPr>
        <w:spacing w:after="0" w:line="1" w:lineRule="exact"/>
        <w:rPr>
          <w:sz w:val="20"/>
          <w:szCs w:val="20"/>
          <w:color w:val="auto"/>
        </w:rPr>
      </w:pPr>
    </w:p>
    <w:sectPr>
      <w:pgSz w:w="11900" w:h="16838" w:orient="portrait"/>
      <w:cols w:equalWidth="0" w:num="1">
        <w:col w:w="11140"/>
      </w:cols>
      <w:pgMar w:left="320" w:top="104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2022-01-24T05:23:43Z</dcterms:created>
  <dcterms:modified xsi:type="dcterms:W3CDTF">2022-01-24T05:23:43Z</dcterms:modified>
</cp:coreProperties>
</file>